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032" w:rsidRDefault="00C32646">
      <w:pPr>
        <w:tabs>
          <w:tab w:val="center" w:pos="7369"/>
        </w:tabs>
        <w:spacing w:after="0" w:line="259" w:lineRule="auto"/>
        <w:ind w:firstLine="0"/>
        <w:jc w:val="left"/>
      </w:pPr>
      <w:bookmarkStart w:id="0" w:name="_GoBack"/>
      <w:bookmarkEnd w:id="0"/>
      <w:r>
        <w:rPr>
          <w:b/>
          <w:sz w:val="16"/>
        </w:rPr>
        <w:t>Imagen Diagn´ostica</w:t>
      </w:r>
      <w:r>
        <w:rPr>
          <w:b/>
          <w:sz w:val="16"/>
        </w:rPr>
        <w:tab/>
      </w:r>
      <w:r>
        <w:rPr>
          <w:i/>
        </w:rPr>
        <w:t xml:space="preserve">Imadi. </w:t>
      </w:r>
      <w:r>
        <w:t xml:space="preserve">2025, </w:t>
      </w:r>
      <w:r>
        <w:rPr>
          <w:b/>
        </w:rPr>
        <w:t>16</w:t>
      </w:r>
      <w:r>
        <w:t>(1), 1–18.</w:t>
      </w:r>
    </w:p>
    <w:p w:rsidR="00F85032" w:rsidRDefault="00C32646">
      <w:pPr>
        <w:spacing w:line="268" w:lineRule="auto"/>
        <w:ind w:left="-15" w:right="9" w:firstLine="0"/>
        <w:jc w:val="left"/>
      </w:pPr>
      <w:r>
        <w:rPr>
          <w:sz w:val="16"/>
        </w:rPr>
        <w:t>https://imagendiagnostica.org/</w:t>
      </w:r>
    </w:p>
    <w:p w:rsidR="00F85032" w:rsidRDefault="00C32646">
      <w:pPr>
        <w:spacing w:after="748" w:line="259" w:lineRule="auto"/>
        <w:ind w:left="66" w:firstLine="0"/>
        <w:jc w:val="left"/>
      </w:pPr>
      <w:r>
        <w:rPr>
          <w:rFonts w:ascii="Calibri" w:eastAsia="Calibri" w:hAnsi="Calibri" w:cs="Calibri"/>
          <w:noProof/>
          <w:sz w:val="22"/>
        </w:rPr>
        <mc:AlternateContent>
          <mc:Choice Requires="wpg">
            <w:drawing>
              <wp:inline distT="0" distB="0" distL="0" distR="0">
                <wp:extent cx="1474102" cy="4559"/>
                <wp:effectExtent l="0" t="0" r="0" b="0"/>
                <wp:docPr id="19237" name="Group 19237"/>
                <wp:cNvGraphicFramePr/>
                <a:graphic xmlns:a="http://schemas.openxmlformats.org/drawingml/2006/main">
                  <a:graphicData uri="http://schemas.microsoft.com/office/word/2010/wordprocessingGroup">
                    <wpg:wgp>
                      <wpg:cNvGrpSpPr/>
                      <wpg:grpSpPr>
                        <a:xfrm>
                          <a:off x="0" y="0"/>
                          <a:ext cx="1474102" cy="4559"/>
                          <a:chOff x="0" y="0"/>
                          <a:chExt cx="1474102" cy="4559"/>
                        </a:xfrm>
                      </wpg:grpSpPr>
                      <wps:wsp>
                        <wps:cNvPr id="8" name="Shape 8"/>
                        <wps:cNvSpPr/>
                        <wps:spPr>
                          <a:xfrm>
                            <a:off x="0" y="0"/>
                            <a:ext cx="1474102" cy="0"/>
                          </a:xfrm>
                          <a:custGeom>
                            <a:avLst/>
                            <a:gdLst/>
                            <a:ahLst/>
                            <a:cxnLst/>
                            <a:rect l="0" t="0" r="0" b="0"/>
                            <a:pathLst>
                              <a:path w="1474102">
                                <a:moveTo>
                                  <a:pt x="0" y="0"/>
                                </a:moveTo>
                                <a:lnTo>
                                  <a:pt x="1474102" y="0"/>
                                </a:lnTo>
                              </a:path>
                            </a:pathLst>
                          </a:custGeom>
                          <a:ln w="455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237" style="width:116.071pt;height:0.359pt;mso-position-horizontal-relative:char;mso-position-vertical-relative:line" coordsize="14741,45">
                <v:shape id="Shape 8" style="position:absolute;width:14741;height:0;left:0;top:0;" coordsize="1474102,0" path="m0,0l1474102,0">
                  <v:stroke weight="0.359pt" endcap="flat" joinstyle="miter" miterlimit="10" on="true" color="#000000"/>
                  <v:fill on="false" color="#000000" opacity="0"/>
                </v:shape>
              </v:group>
            </w:pict>
          </mc:Fallback>
        </mc:AlternateContent>
      </w:r>
    </w:p>
    <w:p w:rsidR="00F85032" w:rsidRDefault="00C32646">
      <w:pPr>
        <w:pStyle w:val="Heading1"/>
        <w:numPr>
          <w:ilvl w:val="0"/>
          <w:numId w:val="0"/>
        </w:numPr>
        <w:spacing w:after="281"/>
        <w:ind w:left="-5" w:right="135"/>
      </w:pPr>
      <w:r>
        <w:t>Vigilancia con TC tor´acica de dosis ultrabaja estratificada por riesgo en pacientes pedi´atricos y jo´venes con HHT con una restricci´on de exactitud de no omitir PAVM tratables y de modelado a lo largo de la vida</w:t>
      </w:r>
    </w:p>
    <w:p w:rsidR="00F85032" w:rsidRDefault="00C32646">
      <w:pPr>
        <w:spacing w:after="186"/>
        <w:ind w:left="-15" w:right="135" w:firstLine="0"/>
      </w:pPr>
      <w:r>
        <w:t>Rodrigo Garc´ıa Gorga, Sr., Estela Mendoz</w:t>
      </w:r>
      <w:r>
        <w:t>a Bielsa, Sra</w:t>
      </w:r>
    </w:p>
    <w:p w:rsidR="00F85032" w:rsidRDefault="00C32646">
      <w:pPr>
        <w:spacing w:after="199" w:line="268" w:lineRule="auto"/>
        <w:ind w:left="-15" w:right="9" w:firstLine="0"/>
        <w:jc w:val="left"/>
      </w:pPr>
      <w:r>
        <w:rPr>
          <w:sz w:val="16"/>
        </w:rPr>
        <w:t>Sociedad Espan˜ola de Graduados y T´ecnicos en Radiolog´ıa.</w:t>
      </w:r>
    </w:p>
    <w:p w:rsidR="00F85032" w:rsidRDefault="00C32646">
      <w:pPr>
        <w:spacing w:after="223" w:line="259" w:lineRule="auto"/>
        <w:ind w:right="150" w:firstLine="0"/>
        <w:jc w:val="center"/>
      </w:pPr>
      <w:r>
        <w:rPr>
          <w:sz w:val="16"/>
        </w:rPr>
        <w:t>(Received: 10 December 2024. Accepted: 11 April 2025. Published online: 30 June 2025.)</w:t>
      </w:r>
    </w:p>
    <w:p w:rsidR="00F85032" w:rsidRDefault="00C32646">
      <w:pPr>
        <w:pStyle w:val="Heading2"/>
        <w:numPr>
          <w:ilvl w:val="0"/>
          <w:numId w:val="0"/>
        </w:numPr>
        <w:spacing w:after="106" w:line="259" w:lineRule="auto"/>
        <w:jc w:val="center"/>
      </w:pPr>
      <w:r>
        <w:rPr>
          <w:sz w:val="18"/>
        </w:rPr>
        <w:t>Resumen</w:t>
      </w:r>
    </w:p>
    <w:p w:rsidR="00F85032" w:rsidRDefault="00C32646">
      <w:pPr>
        <w:spacing w:after="129" w:line="255" w:lineRule="auto"/>
        <w:ind w:left="493" w:right="633" w:hanging="10"/>
      </w:pPr>
      <w:r>
        <w:rPr>
          <w:b/>
          <w:sz w:val="18"/>
        </w:rPr>
        <w:t xml:space="preserve">Antecedentes: </w:t>
      </w:r>
      <w:r>
        <w:rPr>
          <w:sz w:val="18"/>
        </w:rPr>
        <w:t xml:space="preserve">Las malformaciones arteriovenosas pulmonares (PAVM) en la telangiectasia </w:t>
      </w:r>
      <w:r>
        <w:rPr>
          <w:sz w:val="18"/>
        </w:rPr>
        <w:t>hemorra´gica hereditaria (HHT) pueden causar complicaciones neurolo´gicas prevenibles. La TC de to´rax es fundamental para la deteccio´n y la planificacio´n del tratamiento; sin embargo, la obtencio´n repetida de ima´genes desde la infancia suscita preocup</w:t>
      </w:r>
      <w:r>
        <w:rPr>
          <w:sz w:val="18"/>
        </w:rPr>
        <w:t>acio´n por la exposicio´n acumulativa a radiacio´n ionizante. La TC tora´cica de dosis ultrabaja (ULD) ha mostrado un rendimiento prometedor en adultos, pero la fiabilidad diagno´stica en poblaci´on pedia´trica y los intervalos de vigilancia basados en evi</w:t>
      </w:r>
      <w:r>
        <w:rPr>
          <w:sz w:val="18"/>
        </w:rPr>
        <w:t xml:space="preserve">dencia que minimicen la radiacio´n siguen sin estar definidos. </w:t>
      </w:r>
      <w:r>
        <w:rPr>
          <w:b/>
          <w:sz w:val="18"/>
        </w:rPr>
        <w:t xml:space="preserve">M´etodos: </w:t>
      </w:r>
      <w:r>
        <w:rPr>
          <w:sz w:val="18"/>
        </w:rPr>
        <w:t>Proponemos una investigacio´n en dos partes. En primer lugar, un estudio multic´entrico prospectivo de exactitud diagno´stica (edades 0–21 an˜os) evalu´a la TC ULD pedia´trica optimiz</w:t>
      </w:r>
      <w:r>
        <w:rPr>
          <w:sz w:val="18"/>
        </w:rPr>
        <w:t>ada sin contraste para detectar PAVM candidatas a embolizacio´n (dia´metro de la arteria nutricia ≥2mm), utilizando un patro´n de referencia compuesto que incorpora angiograf´ıa cuando se realiza y seguimiento estructurado para los casos discordantes. En s</w:t>
      </w:r>
      <w:r>
        <w:rPr>
          <w:sz w:val="18"/>
        </w:rPr>
        <w:t>egundo lugar, las salidas derivadas de la cohorte (exactitud, incidencia y factibilidad) parametrizan una microsimulacio´n de transicio´n de estados a lo largo de la vida, que compara TC esta´ndar a intervalos fijos con estrategias estratificadas por riesg</w:t>
      </w:r>
      <w:r>
        <w:rPr>
          <w:sz w:val="18"/>
        </w:rPr>
        <w:t>o (p.ej., TC ULD basal seguida de intervalos ampliados tras una evaluacio´n basal negativa; intervalos ajustados por fenotipo/genotipo). La pol´ıtica de vigilancia se optimiza sujeta a una restriccio´n formal de seguridad que exige que la probabilidad de n</w:t>
      </w:r>
      <w:r>
        <w:rPr>
          <w:sz w:val="18"/>
        </w:rPr>
        <w:t xml:space="preserve">o detectar una PAVM tratable permanezca por debajo de un umbral preespecificado. </w:t>
      </w:r>
      <w:r>
        <w:rPr>
          <w:b/>
          <w:sz w:val="18"/>
        </w:rPr>
        <w:t xml:space="preserve">Resultados (evaluacio´n in silico): </w:t>
      </w:r>
      <w:r>
        <w:rPr>
          <w:sz w:val="18"/>
        </w:rPr>
        <w:t>Utilizando rangos de para´metros informados por la literatura, la simulacio´n sugiere que las estrategias ULD estratificadas por riesgo pue</w:t>
      </w:r>
      <w:r>
        <w:rPr>
          <w:sz w:val="18"/>
        </w:rPr>
        <w:t xml:space="preserve">den reducir sustancialmente la dosis de radiacio´n acumulada, manteniendo resultados casi equivalentes en eventos neurolo´gicos prevenibles y con una relacio´n coste-efectividad favorable bajo umbrales convencionales de disposicio´n a pagar. </w:t>
      </w:r>
      <w:r>
        <w:rPr>
          <w:b/>
          <w:sz w:val="18"/>
        </w:rPr>
        <w:t xml:space="preserve">Conclusiones: </w:t>
      </w:r>
      <w:r>
        <w:rPr>
          <w:sz w:val="18"/>
        </w:rPr>
        <w:t>Este marco integrado cl´ınico y de modelado esta´ disen˜ado para permitir recomendaciones de vigilancia espec´ıficas para HHT pedia´trica que ponderen expl´ıcitamente la carga de radiacio´n a lo largo de la vida frente a la seguridad de no omitir PAVM trat</w:t>
      </w:r>
      <w:r>
        <w:rPr>
          <w:sz w:val="18"/>
        </w:rPr>
        <w:t>ables, apoyando la implementacio´n escalable de la TC ULD en la atencio´n rutinaria.</w:t>
      </w:r>
    </w:p>
    <w:p w:rsidR="00F85032" w:rsidRDefault="00C32646">
      <w:pPr>
        <w:spacing w:after="404" w:line="255" w:lineRule="auto"/>
        <w:ind w:left="493" w:right="633" w:hanging="10"/>
      </w:pPr>
      <w:r>
        <w:rPr>
          <w:b/>
          <w:sz w:val="18"/>
        </w:rPr>
        <w:t xml:space="preserve">Palabras clave: </w:t>
      </w:r>
      <w:r>
        <w:rPr>
          <w:sz w:val="18"/>
        </w:rPr>
        <w:t>telangiectasia hemorra´gica hereditaria; malformacio´n arteriovenosa pulmonar; cribado pedi´atrico; TC de dosis ultrabaja; minimizacio´n de la radiacio´n; estratificacio´n del riesgo; genotipo-fenotipo; modelo de Markov; microsimulacio´n; coste-efectividad</w:t>
      </w:r>
      <w:r>
        <w:rPr>
          <w:sz w:val="18"/>
        </w:rPr>
        <w:t>; intervalos de vigilancia.</w:t>
      </w:r>
    </w:p>
    <w:p w:rsidR="00F85032" w:rsidRDefault="00C32646">
      <w:pPr>
        <w:pStyle w:val="Heading1"/>
        <w:spacing w:after="199"/>
        <w:ind w:left="463" w:right="135" w:hanging="478"/>
      </w:pPr>
      <w:r>
        <w:t>Introduccio´n</w:t>
      </w:r>
    </w:p>
    <w:p w:rsidR="00F85032" w:rsidRDefault="00C32646">
      <w:pPr>
        <w:ind w:left="-15" w:right="135" w:firstLine="0"/>
      </w:pPr>
      <w:r>
        <w:t>La telangiectasia hemorr´agica hereditaria (HHT, por sus siglas en ingl´es) es una displasia vascular autos´omica dominante caracterizada por epistaxis recurrente, telangiectasias mucocut´aneas y malformaciones art</w:t>
      </w:r>
      <w:r>
        <w:t xml:space="preserve">eriovenosas (MAV) viscerales que afectan a los pulmones, cerebro, h´ıgado y tracto gastrointestinal [1,2]. El trastorno es gen´eticamente heterog´eneo, con variantes patog´enicas identificadas con mayor frecuencia en </w:t>
      </w:r>
      <w:r>
        <w:rPr>
          <w:i/>
        </w:rPr>
        <w:t>ENG</w:t>
      </w:r>
      <w:r>
        <w:t xml:space="preserve">, </w:t>
      </w:r>
      <w:r>
        <w:rPr>
          <w:i/>
        </w:rPr>
        <w:t xml:space="preserve">ACVRL1 </w:t>
      </w:r>
      <w:r>
        <w:t xml:space="preserve">y </w:t>
      </w:r>
      <w:r>
        <w:rPr>
          <w:i/>
        </w:rPr>
        <w:t>SMAD4</w:t>
      </w:r>
      <w:r>
        <w:t>, y su expresi´on cl</w:t>
      </w:r>
      <w:r>
        <w:t>´ınica var´ıa de forma marcada entre familias y grupos etarios [1,2,5]. Entre las manifestaciones viscerales, las malformaciones arteriovenosas pulmonares (PAVM) tienen especial importancia cl´ınica porque establecen cortocircuitos directos de derecha a iz</w:t>
      </w:r>
      <w:r>
        <w:t>quierda entre la circulaci´on arterial y venosa pulmonar, eludiendo el lecho capilar que normalmente filtra trombo´embolos y part´ıculas s´epticas [3,4]. Como consecuencia, los pacientes con PAVM no tratadas presentan un mayor riesgo de complicaciones emb´</w:t>
      </w:r>
      <w:r>
        <w:t xml:space="preserve">olicas parad´ojicas, incluyendo ictus isqu´emico, ataque isqu´emico transitorio y absceso cerebral, as´ı como hipoxemia, intolerancia al ejercicio, hemoptisis y hemot´orax en casos seleccionados [3,4,6]. Estas complicaciones pueden </w:t>
      </w:r>
      <w:r>
        <w:lastRenderedPageBreak/>
        <w:t>ocurrir incluso en pacie</w:t>
      </w:r>
      <w:r>
        <w:t>ntes con s´ıntomas respiratorios limitados, lo que subraya la necesidad de un cribado sistem´atico en lugar de una detecci´on basada u´nicamente en s´ıntomas [6,7].</w:t>
      </w:r>
    </w:p>
    <w:p w:rsidR="00F85032" w:rsidRDefault="00C32646">
      <w:pPr>
        <w:ind w:left="-15" w:right="135"/>
      </w:pPr>
      <w:r>
        <w:t>Por ello, las recomendaciones internacionales actuales enfatizan el cribado proactivo de PA</w:t>
      </w:r>
      <w:r>
        <w:t>VM y el seguimiento longitudinal en individuos con HHT confirmada o sospechada, incluyendo pacientes pedi´atricos en quienes la vigilancia puede comenzar tempranamente en la vida [6,7]. En la pr´actica cl´ınica, las decisiones terap´euticas suelen centrars</w:t>
      </w:r>
      <w:r>
        <w:t>e en la embolizaci´on transcat´eter de lesiones consideradas t´ecnica y cl´ınicamente tratables, con frecuencia guiadas por umbrales del di´ametro de la arteria nutricia y la morfolog´ıa de la lesi´on, teniendo tambi´en en cuenta los s´ıntomas del paciente</w:t>
      </w:r>
      <w:r>
        <w:t>, el crecimiento en el tiempo y la factibilidad del procedimiento [6–8]. La tomograf´ıa computarizada (TC) desempen˜a un papel fundamental en esta v´ıa asistencial porque proporciona una representaci´on anat´omica de alta resoluci´on de la arteria nutricia</w:t>
      </w:r>
      <w:r>
        <w:t>, el saco aneurism´atico y la vena de drenaje, apoyando as´ı la detecci´on de lesiones, la evaluaci´on de elegibilidad para tratamiento y la planificaci´on preprocedimiento [8,9]. Sin embargo, las mismas caracter´ısticas que hacen indispensable la TC en el</w:t>
      </w:r>
      <w:r>
        <w:t xml:space="preserve"> manejo de las PAVM generan tambi´en un reto importante en la HHT: la vigilancia requiere con frecuencia estudios repetidos durante la infancia, adolescencia y adultez temprana, lo que puede conducir a una exposici´on acumulativa sustancial a radiaci´on io</w:t>
      </w:r>
      <w:r>
        <w:t>nizante [12–14]. Esta preocupaci´on es particularmente relevante en pacientes pedi´atricos y j´ovenes, quienes tienen mayor esperanza de vida restante, mayor radiosensibilidad tisular y una mayor probabilidad de someterse a mu´ltiples exploraciones de segu</w:t>
      </w:r>
      <w:r>
        <w:t>imiento por progresi´on de lesiones, aparici´on de nuevas lesiones o monitorizaci´on pos-embolizaci´on [12,13,15].</w:t>
      </w:r>
    </w:p>
    <w:p w:rsidR="00F85032" w:rsidRDefault="00C32646">
      <w:pPr>
        <w:ind w:left="-15" w:right="135"/>
      </w:pPr>
      <w:r>
        <w:t>La necesidad de reducir la dosis de radiaci´on sin comprometer la detecci´on de lesiones ha impulsado el desarrollo de protocolos de TC tor´a</w:t>
      </w:r>
      <w:r>
        <w:t>cica de dosis ultrabaja (ULD), que t´ıpicamente emplean menores productos corriente-tiempo del tubo, selecci´on optimizada del voltaje del tubo y m´etodos avanzados de reconstrucci´on iterativa o basados en aprendizaje profundo [9–11]. En poblaciones adult</w:t>
      </w:r>
      <w:r>
        <w:t>as, estudios emergentes indican que la TC tor´acica ULD sin contraste puede preservar una visualizaci´on diagn´osticamente relevante de PAVM cl´ınicamente significativas mientras reduce marcadamente los indicadores de dosis, lo que sugiere una v´ıa plausib</w:t>
      </w:r>
      <w:r>
        <w:t>le hacia una vigilancia longitudinal m´as segura [9–11,16]. No obstante, la extrapolaci´on directa de cohortes adultas a poblaciones pedi´atricas con HHT no es sencilla. Los nin˜os y adolescentes presentan retos t´ecnicos y cl´ınicos espec´ıficos, incluyen</w:t>
      </w:r>
      <w:r>
        <w:t>do menor calibre vascular, mayor susceptibilidad a artefactos por movimiento, mayor variabilidad del h´abito corporal a lo largo del desarrollo y diferente comportamiento del ruido de imagen bajo configuraciones de protocolo fijas o semifijas [17,18]. Adem</w:t>
      </w:r>
      <w:r>
        <w:t>´as, los descriptores de dosis y el rendimiento de la reconstrucci´on pueden variar de forma no lineal con el taman˜o del paciente, lo que puede alterar el equilibrio sensibilidad-especificidad al intentar detectar PAVM pequen˜as pero potencialmente cl´ıni</w:t>
      </w:r>
      <w:r>
        <w:t>camente relevantes [17–19]. Por tanto, la implementaci´on pedi´atrica de la TC ULD requiere optimizaci´on y validaci´on espec´ıficas, y no una simple reducci´on del protocolo utilizado en adultos.</w:t>
      </w:r>
    </w:p>
    <w:p w:rsidR="00F85032" w:rsidRDefault="00C32646">
      <w:pPr>
        <w:ind w:left="-15" w:right="135"/>
      </w:pPr>
      <w:r>
        <w:t>Una segunda limitaci´on de la literatura actual es que la m</w:t>
      </w:r>
      <w:r>
        <w:t xml:space="preserve">ayor´ıa de los estudios de imagen se centran principalmente en el rendimiento diagn´ostico transversal (p.ej., sensibilidad y especificidad en un u´nico punto temporal) y ofrecen orientaci´on limitada sobre el </w:t>
      </w:r>
      <w:r>
        <w:rPr>
          <w:i/>
        </w:rPr>
        <w:t xml:space="preserve">disen˜o de pol´ıticas de vigilancia </w:t>
      </w:r>
      <w:r>
        <w:t>a lo largo</w:t>
      </w:r>
      <w:r>
        <w:t xml:space="preserve"> de la vida [9,10,16]. En la atenci´on pedi´atrica de la HHT, la pregunta pr´actica no es solo si la TC ULD puede detectar PAVM tratables al inicio, sino tambi´en c´omo debe programarse la vigilancia con el tiempo: qui´enes deben recibir un seguimiento m´a</w:t>
      </w:r>
      <w:r>
        <w:t>s intensivo, cu´ando se justifica acortar los intervalos y en qu´e condiciones puede diferirse de forma segura la obtenci´on de im´agenes. Estas decisiones son inherentemente longitudinales y dependientes del riesgo, y requieren una integraci´on expl´ıcita</w:t>
      </w:r>
      <w:r>
        <w:t xml:space="preserve"> de la exactitud diagn´ostica, la din´amica de crecimiento/progresi´on de lesiones, las v´ıas de tratamiento procedimental, la exposici´on a radiaci´on espec´ıfica por edad y los riesgos de complicaciones posteriores [13,14,20]. Es importante destacar que </w:t>
      </w:r>
      <w:r>
        <w:t>el objetivo cl´ınico en este contexto es asim´etrico: las consecuencias de omitir una PAVM tratable pueden ser graves, mientras que los dan˜os por exceso de imagen se acumulan de forma probabil´ıstica durante d´ecadas. Esta asimetr´ıa justifica un marco de</w:t>
      </w:r>
      <w:r>
        <w:t xml:space="preserve"> pol´ıtica que formalice un requisito de seguridad de alta prioridad—esto es, una restricci´on de </w:t>
      </w:r>
      <w:r>
        <w:rPr>
          <w:i/>
        </w:rPr>
        <w:t xml:space="preserve">no omitir PAVM tratables </w:t>
      </w:r>
      <w:r>
        <w:t>(o una tolerancia casi nula de omisi´on operacionalizada en la pr´actica)—antes de optimizar objetivos secundarios como la reducci´on</w:t>
      </w:r>
      <w:r>
        <w:t xml:space="preserve"> acumulativa de radiaci´on o la utilizaci´on de recursos.</w:t>
      </w:r>
    </w:p>
    <w:p w:rsidR="00F85032" w:rsidRDefault="00C32646">
      <w:pPr>
        <w:spacing w:after="2" w:line="294" w:lineRule="auto"/>
        <w:ind w:firstLine="299"/>
        <w:jc w:val="left"/>
      </w:pPr>
      <w:r>
        <w:lastRenderedPageBreak/>
        <w:t>Los enfoques de an´alisis de decisi´on y modelado a lo largo de la vida son especialmente adecuados para este problema porque permiten sintetizar flujos de evidencia heterog´eneos y evaluar estrateg</w:t>
      </w:r>
      <w:r>
        <w:t>ias que no pueden compararse directamente en un u´nico ensayo prospectivo [20,21]. En el contexto de la HHT, estos modelos pueden representar transiciones entre estados de salud (p.ej., sin PAVM detectable, PAVM pequen˜a no tratada, PAVM tratable, vigilanc</w:t>
      </w:r>
      <w:r>
        <w:t>ia pos-embolizaci´on, PAVM recurrente/residual), incorporar probabilidades dependientes de la edad y caracter´ısticas de las pruebas de imagen, y estimar resultados a largo plazo bajo intervalos alternativos de vigilancia y reglas de estratificaci´on de ri</w:t>
      </w:r>
      <w:r>
        <w:t>esgo [20–22]. Cuando se vinculan con estimaciones pedi´atricas de dosis y modelos de riesgo, las simulaciones a lo largo de la vida pueden cuantificar la carga esperada de radiaci´on acumulada y los dan˜os a largo plazo asociados, preservando a la vez rest</w:t>
      </w:r>
      <w:r>
        <w:t>ricciones expl´ıcitas de seguridad ligadas a umbrales cl´ınicamente importantes de lesiones omitidas [12–14,22]. Sin embargo, la credibilidad de un modelo de este tipo depende de manera cr´ıtica de entradas de rendimiento diagn´ostico pedi´atrico de alta c</w:t>
      </w:r>
      <w:r>
        <w:t>alidad derivadas de datos de imagen recolectados prospectivamente mediante adjudicaci´on estandarizada de referencia y an´alisis a nivel de lesi´on.</w:t>
      </w:r>
    </w:p>
    <w:p w:rsidR="00F85032" w:rsidRDefault="00C32646">
      <w:pPr>
        <w:ind w:left="-15" w:right="135"/>
      </w:pPr>
      <w:r>
        <w:t>En consecuencia, persiste una brecha translacional clara entre (i) las demostraciones t´ecnicas de que la T</w:t>
      </w:r>
      <w:r>
        <w:t>C ULD es factible y (ii) un marco de vigilancia cl´ınicamente accionable y basado en evidencia para pacientes pedi´atricos y j´ovenes con HHT. Abordar esta brecha requiere una doble contribuci´on: en primer lugar, una evaluaci´on prospectiva rigurosa de la</w:t>
      </w:r>
      <w:r>
        <w:t xml:space="preserve"> TC ULD pedi´atrica optimizada para la detecci´on y caracterizaci´on de PAVM tratables; y en segundo lugar, un modelo transparente de decisi´on a lo largo de la vida que convierta la evidencia diagn´ostica en recomendaciones de vigilancia bajo restriccione</w:t>
      </w:r>
      <w:r>
        <w:t>s expl´ıcitas de seguridad como prioridad. Este enfoque se alinea con los principios contempor´aneos de medicina de precisi´on al adaptar la intensidad de vigilancia al riesgo a nivel del paciente, minimizando al mismo tiempo la exposici´on acumulativa evi</w:t>
      </w:r>
      <w:r>
        <w:t>table a radiaci´on.</w:t>
      </w:r>
    </w:p>
    <w:p w:rsidR="00F85032" w:rsidRDefault="00C32646">
      <w:pPr>
        <w:spacing w:after="332"/>
        <w:ind w:left="-15" w:right="135"/>
      </w:pPr>
      <w:r>
        <w:t>En este manuscrito, presentamos un marco de investigaci´on completo que integra dos componentes complementarios. El primero es un estudio prospectivo de exactitud diagn´ostica disen˜ado para evaluar la TC tor´acica ULD pedi´atrica optim</w:t>
      </w:r>
      <w:r>
        <w:t xml:space="preserve">izada sin contraste para la detecci´on de PAVM candidatas a embolizaci´on, con atenci´on a la calidad de imagen, la robustez frente al movimiento y el rendimiento dependiente del taman˜o corporal. El segundo es un modelo anal´ıtico de decisi´on a lo largo </w:t>
      </w:r>
      <w:r>
        <w:t>de la vida que utiliza estas entradas diagn´osticas, junto con supuestos de historia natural y estimaciones de riesgo por radiaci´on, para identificar pol´ıticas de vigilancia estratificadas por riesgo bajo una restricci´on formal de “no omitir PAVM tratab</w:t>
      </w:r>
      <w:r>
        <w:t>les”. Al acoplar la validaci´on prospectiva por imagen con el modelado a nivel de pol´ıtica, el marco propuesto pretende ir m´as all´a de la mera prueba de factibilidad y avanzar hacia estrategias de vigilancia cl´ınicamente implementables para pacientes p</w:t>
      </w:r>
      <w:r>
        <w:t>edi´atricos y j´ovenes con HHT.</w:t>
      </w:r>
    </w:p>
    <w:p w:rsidR="00F85032" w:rsidRDefault="00C32646">
      <w:pPr>
        <w:pStyle w:val="Heading1"/>
        <w:spacing w:after="199"/>
        <w:ind w:left="463" w:right="135" w:hanging="478"/>
      </w:pPr>
      <w:r>
        <w:t>Revisi´on de la literatura y formulaci´on del problema</w:t>
      </w:r>
    </w:p>
    <w:p w:rsidR="00F85032" w:rsidRDefault="00C32646">
      <w:pPr>
        <w:ind w:left="-15" w:right="135" w:firstLine="0"/>
      </w:pPr>
      <w:r>
        <w:t>La telangiectasia hemorr´agica hereditaria (HHT) es un trastorno vascular de por vida en el que las malformaciones arteriovenosas pulmonares (PAVM) constituyen una fuent</w:t>
      </w:r>
      <w:r>
        <w:t>e importante de morbilidad prevenible porque permiten cortocircuitos de derecha a izquierda y embolizaci´on parad´ojica. Como resultado, los marcos contempor´aneos de atenci´on en HHT enfatizan el cribado activo y la vigilancia longitudinal de las PAVM m´a</w:t>
      </w:r>
      <w:r>
        <w:t xml:space="preserve">s que la detecci´on basada en s´ıntomas [5,6]. Las gu´ıas internacionales de HHT recomiendan una evaluaci´on sistem´atica del shunt pulmonar y el tratamiento de lesiones candidatas a embolizaci´on, utiliz´andose comu´nmente la TC tor´acica para confirmar, </w:t>
      </w:r>
      <w:r>
        <w:t>localizar y caracterizar anat´omicamente las PAVM tras una prueba de cribado positiva o en pacientes con enfermedad conocida que requieren planificaci´on terap´eutica y seguimiento [5,6]. La declaraci´on cl´ınica de la British Thoracic Society refina adem´</w:t>
      </w:r>
      <w:r>
        <w:t>as las consideraciones diagn´osticas y de manejo, incluyendo la evaluaci´on de lesiones, la planificaci´on de la embolizaci´on y las v´ıas de monitorizaci´on pos-tratamiento [4]. En muchos flujos de trabajo reales, la ecocardiograf´ıa transtor´acica con co</w:t>
      </w:r>
      <w:r>
        <w:t>ntraste (TTCE) se utiliza como modalidad inicial de cribado preferida para la detecci´on de shunt de derecha a izquierda debido a su alta sensibilidad y ausencia de radiaci´on ionizante; la gradaci´on de la severidad del shunt se emplea despu´es para guiar</w:t>
      </w:r>
      <w:r>
        <w:t xml:space="preserve"> la necesidad de TC confirmatoria y la intensidad de vigilancia subsiguiente [8]. Este enfoque escalonado es cl´ınicamente atractivo, pero introduce un desaf´ıo de disen˜o de pol´ıtica en pacientes pedi´atricos y j´ovenes: c´omo combinar TTCE y TC a trav´e</w:t>
      </w:r>
      <w:r>
        <w:t>s de ciclos repetidos de seguimiento de forma que se preserve la seguridad y se limite la carga de radiaci´on a lo largo de la vida.</w:t>
      </w:r>
    </w:p>
    <w:p w:rsidR="00F85032" w:rsidRDefault="00C32646">
      <w:pPr>
        <w:ind w:left="-15" w:right="135"/>
      </w:pPr>
      <w:r>
        <w:t xml:space="preserve">El problema de la radiaci´on es central en la vigilancia pedi´atrica de la HHT porque la TC, aunque indispensable desde el </w:t>
      </w:r>
      <w:r>
        <w:t>punto de vista diagn´ostico para la evaluaci´on anat´omica de las PAVM, tambi´en es un contribuyente importante a la exposici´on m´edica a radiaci´on a nivel poblacional [12]. La preocupaci´on se amplifica en nin˜os y adolescentes debido a su mayor radiose</w:t>
      </w:r>
      <w:r>
        <w:t>nsibilidad, mayor tiempo de vida tras la exposici´on y la posibilidad de estudios repetidos durante d´ecadas para cribado basal, vigilancia en intervalos y seguimiento pos-embolizaci´on. Estudios epidemiol´ogicos han asociado la exposici´on a TC en la infa</w:t>
      </w:r>
      <w:r>
        <w:t>ncia con un aumento posterior del riesgo de leucemia y tumores cerebrales [13], y grandes an´alisis de cohortes enlazadas han informado de un aumento del riesgo global de c´ancer tras la exposici´on pedi´atrica a TC, reconociendo al mismo tiempo las comple</w:t>
      </w:r>
      <w:r>
        <w:t>jidades del sesgo de confusi´on y del sesgo por indicaci´on en datos observacionales [14]. Por ello, los marcos fundamentales de radiobiolog´ıa y protecci´on radiol´ogica, incluidos BEIR VII y las gu´ıas de la ICRP, apoyan un enfoque de precauci´on que min</w:t>
      </w:r>
      <w:r>
        <w:t>imice la dosis siempre que sea cl´ınicamente factible, especialmente en contextos de imagen pedi´atrica [15–17]. En dosimetr´ıa de TC, los m´etodos de estimaci´on de dosis espec´ıfica por taman˜o (SSDE) proporcionan una estimaci´on m´as relevante para el p</w:t>
      </w:r>
      <w:r>
        <w:t>aciente de la dosis absorbida que los indicadores de salida del esc´aner por s´ı solos, y son especialmente importantes en nin˜os, donde el taman˜o corporal var´ıa sustancialmente segu´n la edad y la etapa de desarrollo [18]. Estas consideraciones implican</w:t>
      </w:r>
      <w:r>
        <w:t xml:space="preserve"> que una estrategia de vigilancia pedi´atrica para HHT no puede evaluarse u´nicamente por la exactitud diagn´ostica en un u´nico punto temporal; tambi´en debe valorarse en t´erminos de dosis acumulada a lo largo de toda la trayectoria asistencial.</w:t>
      </w:r>
    </w:p>
    <w:p w:rsidR="00F85032" w:rsidRDefault="00C32646">
      <w:pPr>
        <w:ind w:left="-15" w:right="135"/>
      </w:pPr>
      <w:r>
        <w:t>Esta nec</w:t>
      </w:r>
      <w:r>
        <w:t>esidad ha motivado el inter´es por los protocolos de TC tor´acica de dosis ultrabaja (ULD), cuyo objetivo es preservar detalles vasculares cl´ınicamente significativos mientras se reduce sustancialmente la exposici´on a radiaci´on. Las t´ecnicas establecid</w:t>
      </w:r>
      <w:r>
        <w:t>as de reducci´on de dosis incluyen la optimizaci´on de corriente y voltaje del tubo, el control autom´atico de exposici´on, las decisiones de colimaci´on y m´etodos de reconstrucci´on disen˜ados para suprimir el ruido y preservar la definici´on de bordes e</w:t>
      </w:r>
      <w:r>
        <w:t>n condiciones de bajo nu´mero de fotones [9]. En imagen tor´acica de adultos, los m´etodos de reconstrucci´on iterativa han demostrado repetidamente la capacidad de mantener una calidad de imagen aceptable con niveles de dosis marcadamente reducidos, y est</w:t>
      </w:r>
      <w:r>
        <w:t>udios posteriores han extendido estos principios a contextos vasculares y diagn´osticos espec´ıficos por tarea [10]. Trabajos m´as recientes en imagen centrada en HHT y PAVM sugieren que la TC ULD podr´ıa ser capaz de identificar lesiones cl´ınicamente sig</w:t>
      </w:r>
      <w:r>
        <w:t>nificativas reduciendo la dosis lo suficiente como para hacer m´as aceptable la vigilancia repetida [11]. Sin embargo, la generalizaci´on a poblaci´on pedi´atrica sigue siendo incierta. Los nin˜os difieren de los adultos no solo en taman˜o corporal, sino t</w:t>
      </w:r>
      <w:r>
        <w:t>ambi´en en calibre vascular, cooperaci´on respiratoria, susceptibilidad a artefactos por movimiento y comportamiento del ruido de imagen con configuraciones de protocolo comparables. Estos factores pueden alterar de forma sustancial la conspicuidad de la l</w:t>
      </w:r>
      <w:r>
        <w:t>esi´on, el rendimiento de la reconstrucci´on y el equilibrio sensibilidad-especificidad para PAVM pequen˜as o lim´ıtrofes tratables. En consecuencia, la vigilancia pedi´atrica de la HHT requiere validaci´on espec´ıfica de protocolos de TC ULD y cuantificac</w:t>
      </w:r>
      <w:r>
        <w:t>i´on expl´ıcita de c´omo var´ıa el rendimiento diagn´ostico segu´n edad, h´abito corporal y condiciones de adquisici´on.</w:t>
      </w:r>
    </w:p>
    <w:p w:rsidR="00F85032" w:rsidRDefault="00C32646">
      <w:pPr>
        <w:ind w:left="-15" w:right="135"/>
      </w:pPr>
      <w:r>
        <w:t>Una segunda brecha en la literatura es que los estudios de imagen suelen enfatizar la factibilidad t´ecnica y el rendimiento diagn´ostico transversal, pero no llegan a identificar pol´ıticas ´optimas de vigilancia a largo plazo. Sin embargo, las decisiones</w:t>
      </w:r>
      <w:r>
        <w:t xml:space="preserve"> cl´ınicas en pacientes pedi´atricos y j´ovenes con HHT son intr´ınsecamente longitudinales: los cl´ınicos deben decidir con qu´e frecuencia obtener im´agenes, qu´e v´ıa de modalidad utilizar, cu´ando intensificar el seguimiento y cu´ando es seguro desesca</w:t>
      </w:r>
      <w:r>
        <w:t>lar tras hallazgos estables o tratamiento. Estas preguntas implican compensaciones entre exposici´on a radiaci´on, riesgo de omitir lesiones, complicaciones neurol´ogicas posteriores, intervenciones procedimentales, costes y calidad de vida a lo largo de h</w:t>
      </w:r>
      <w:r>
        <w:t>orizontes extendidos que son dif´ıciles de evaluar directamente en ensayos prospectivos. Los m´etodos de an´alisis de decisi´on, incluidos los modelos de transici´on de estados de cohorte y la microsimulaci´on, est´an bien establecidos para evaluar estrate</w:t>
      </w:r>
      <w:r>
        <w:t>gias de cribado y vigilancia cuando los resultados y dan˜os se acumulan durante an˜os o d´ecadas [19–22]. Las mejores pr´acticas metodol´ogicas enfatizan una estructura de modelo transparente, calibraci´on con datos observados, an´alisis de sensibilidad pr</w:t>
      </w:r>
      <w:r>
        <w:t>obabil´ıstico y manejo expl´ıcito de la incertidumbre—especialmente importante en enfermedades raras como la HHT, donde la evidencia puede estar fragmentada y los taman˜os muestrales ser limitados [20]. En este contexto, la integraci´on de datos prospectiv</w:t>
      </w:r>
      <w:r>
        <w:t xml:space="preserve">os de exactitud diagn´ostica pedi´atrica en un modelo de decisi´on proporciona una v´ıa fundamentada para generar recomendaciones de vigilancia accionables, al tiempo que identifica los par´ametros que m´as influyen en las conclusiones de pol´ıtica y que, </w:t>
      </w:r>
      <w:r>
        <w:t>por tanto, merecen priorizaci´on en estudios futuros.</w:t>
      </w:r>
    </w:p>
    <w:p w:rsidR="00F85032" w:rsidRDefault="00C32646">
      <w:pPr>
        <w:spacing w:after="53" w:line="259" w:lineRule="auto"/>
        <w:ind w:left="10" w:right="136" w:hanging="10"/>
        <w:jc w:val="right"/>
      </w:pPr>
      <w:r>
        <w:t>Sobre este trasfondo, el problema central abordado en este trabajo es el disen˜o de pol´ıticas de vigilancia para pacientes pedi´atricos y j´ovenes con HHT confirmada o sospechada que minimicen la carga</w:t>
      </w:r>
      <w:r>
        <w:t xml:space="preserve"> acumulada de radiaci´on sin comprometer la detecci´on oportuna de PAVM candidatas a embolizaci´on. Consideramos una pol´ıtica de vigilancia como un conjunto estructurado de reglas que especifica cuatro componentes vinculados: (i) la v´ıa de modalidad de i</w:t>
      </w:r>
      <w:r>
        <w:t xml:space="preserve">magen (por ejemplo, solo TC ULD, TC de baja dosis est´andar o estrategias de confirmaci´on con TC guiadas por TTCE), (ii) el calendario de intervalos de vigilancia (como seguimiento anual, bienal o adaptado al riesgo), (iii) reglas para intensificaci´on o </w:t>
      </w:r>
      <w:r>
        <w:t>desescalada basadas en genotipo, fenotipo, hallazgos previos de imagen, grado de shunt o historia de tratamiento, y (iv) desencadenantes para angiograf´ıa confirmatoria y planificaci´on de embolizaci´on. Esta formulaci´on refleja los flujos de trabajo cl´ı</w:t>
      </w:r>
      <w:r>
        <w:t>nicos reales, en los cuales las decisiones de imagen son secuenciales y contingentes, no est´aticas.</w:t>
      </w:r>
    </w:p>
    <w:p w:rsidR="00F85032" w:rsidRDefault="00C32646">
      <w:pPr>
        <w:ind w:left="-15" w:right="135"/>
      </w:pPr>
      <w:r>
        <w:t xml:space="preserve">Sea </w:t>
      </w:r>
      <w:r>
        <w:rPr>
          <w:i/>
        </w:rPr>
        <w:t xml:space="preserve">A </w:t>
      </w:r>
      <w:r>
        <w:t>la estrategia de imagen (incluyendo la v´ıa de modalidad y la familia de protocolo t´ecnico) y sea ∆ el conjunto de reglas de intervalos de vigilanci</w:t>
      </w:r>
      <w:r>
        <w:t>a y adaptaci´on. Para un par dado (</w:t>
      </w:r>
      <w:r>
        <w:rPr>
          <w:i/>
        </w:rPr>
        <w:t>A,</w:t>
      </w:r>
      <w:r>
        <w:t>∆</w:t>
      </w:r>
      <w:r>
        <w:t xml:space="preserve">), sea </w:t>
      </w:r>
      <w:r>
        <w:rPr>
          <w:i/>
        </w:rPr>
        <w:t>M</w:t>
      </w:r>
      <w:r>
        <w:t>(</w:t>
      </w:r>
      <w:r>
        <w:rPr>
          <w:i/>
        </w:rPr>
        <w:t>A,</w:t>
      </w:r>
      <w:r>
        <w:t>∆</w:t>
      </w:r>
      <w:r>
        <w:t>) la distribuci´on de resultados a lo largo de la vida inducida por un modelo de progresi´on de enfermedad y eventos que capture inicio/crecimiento de PAVM, detecci´on, tratamiento, recurrencia o persistenc</w:t>
      </w:r>
      <w:r>
        <w:t>ia, eventos neurol´ogicos, mortalidad competitiva y dan˜os relacionados con radiaci´on. A partir de esta distribuci´on inducida, definimos los principales resultados a nivel de pol´ıtica como</w:t>
      </w:r>
    </w:p>
    <w:tbl>
      <w:tblPr>
        <w:tblStyle w:val="TableGrid"/>
        <w:tblW w:w="7842" w:type="dxa"/>
        <w:tblInd w:w="1796" w:type="dxa"/>
        <w:tblCellMar>
          <w:top w:w="44" w:type="dxa"/>
          <w:left w:w="0" w:type="dxa"/>
          <w:bottom w:w="0" w:type="dxa"/>
          <w:right w:w="0" w:type="dxa"/>
        </w:tblCellMar>
        <w:tblLook w:val="04A0" w:firstRow="1" w:lastRow="0" w:firstColumn="1" w:lastColumn="0" w:noHBand="0" w:noVBand="1"/>
      </w:tblPr>
      <w:tblGrid>
        <w:gridCol w:w="7587"/>
        <w:gridCol w:w="255"/>
      </w:tblGrid>
      <w:tr w:rsidR="00F85032">
        <w:trPr>
          <w:trHeight w:val="307"/>
        </w:trPr>
        <w:tc>
          <w:tcPr>
            <w:tcW w:w="7587" w:type="dxa"/>
            <w:tcBorders>
              <w:top w:val="nil"/>
              <w:left w:val="nil"/>
              <w:bottom w:val="nil"/>
              <w:right w:val="nil"/>
            </w:tcBorders>
          </w:tcPr>
          <w:p w:rsidR="00F85032" w:rsidRDefault="00C32646">
            <w:pPr>
              <w:spacing w:after="0" w:line="259" w:lineRule="auto"/>
              <w:ind w:firstLine="0"/>
              <w:jc w:val="left"/>
            </w:pPr>
            <w:r>
              <w:rPr>
                <w:i/>
              </w:rPr>
              <w:t>D</w:t>
            </w:r>
            <w:r>
              <w:t>(</w:t>
            </w:r>
            <w:r>
              <w:rPr>
                <w:i/>
              </w:rPr>
              <w:t>A,</w:t>
            </w:r>
            <w:r>
              <w:t>∆</w:t>
            </w:r>
            <w:r>
              <w:t xml:space="preserve">) = </w:t>
            </w:r>
            <w:r>
              <w:rPr>
                <w:rFonts w:ascii="Calibri" w:eastAsia="Calibri" w:hAnsi="Calibri" w:cs="Calibri"/>
              </w:rPr>
              <w:t>E</w:t>
            </w:r>
            <w:r>
              <w:t>[dosis acumulada de radiaci´on a lo largo de la vida]</w:t>
            </w:r>
            <w:r>
              <w:rPr>
                <w:i/>
              </w:rPr>
              <w:t>,</w:t>
            </w:r>
          </w:p>
        </w:tc>
        <w:tc>
          <w:tcPr>
            <w:tcW w:w="255" w:type="dxa"/>
            <w:tcBorders>
              <w:top w:val="nil"/>
              <w:left w:val="nil"/>
              <w:bottom w:val="nil"/>
              <w:right w:val="nil"/>
            </w:tcBorders>
          </w:tcPr>
          <w:p w:rsidR="00F85032" w:rsidRDefault="00C32646">
            <w:pPr>
              <w:spacing w:after="0" w:line="259" w:lineRule="auto"/>
              <w:ind w:firstLine="0"/>
            </w:pPr>
            <w:r>
              <w:t>(1)</w:t>
            </w:r>
          </w:p>
        </w:tc>
      </w:tr>
      <w:tr w:rsidR="00F85032">
        <w:trPr>
          <w:trHeight w:val="348"/>
        </w:trPr>
        <w:tc>
          <w:tcPr>
            <w:tcW w:w="7587" w:type="dxa"/>
            <w:tcBorders>
              <w:top w:val="nil"/>
              <w:left w:val="nil"/>
              <w:bottom w:val="nil"/>
              <w:right w:val="nil"/>
            </w:tcBorders>
          </w:tcPr>
          <w:p w:rsidR="00F85032" w:rsidRDefault="00C32646">
            <w:pPr>
              <w:spacing w:after="0" w:line="259" w:lineRule="auto"/>
              <w:ind w:left="12" w:firstLine="0"/>
              <w:jc w:val="left"/>
            </w:pPr>
            <w:r>
              <w:rPr>
                <w:i/>
              </w:rPr>
              <w:t>E</w:t>
            </w:r>
            <w:r>
              <w:t>(</w:t>
            </w:r>
            <w:r>
              <w:rPr>
                <w:i/>
              </w:rPr>
              <w:t>A,</w:t>
            </w:r>
            <w:r>
              <w:t>∆</w:t>
            </w:r>
            <w:r>
              <w:t xml:space="preserve">) = </w:t>
            </w:r>
            <w:r>
              <w:rPr>
                <w:rFonts w:ascii="Calibri" w:eastAsia="Calibri" w:hAnsi="Calibri" w:cs="Calibri"/>
              </w:rPr>
              <w:t>E</w:t>
            </w:r>
            <w:r>
              <w:t>[eventos neurol´ogicos prevenibles (atribuibles a PAVM)]</w:t>
            </w:r>
            <w:r>
              <w:rPr>
                <w:i/>
              </w:rPr>
              <w:t>,</w:t>
            </w:r>
          </w:p>
        </w:tc>
        <w:tc>
          <w:tcPr>
            <w:tcW w:w="255" w:type="dxa"/>
            <w:tcBorders>
              <w:top w:val="nil"/>
              <w:left w:val="nil"/>
              <w:bottom w:val="nil"/>
              <w:right w:val="nil"/>
            </w:tcBorders>
          </w:tcPr>
          <w:p w:rsidR="00F85032" w:rsidRDefault="00C32646">
            <w:pPr>
              <w:spacing w:after="0" w:line="259" w:lineRule="auto"/>
              <w:ind w:firstLine="0"/>
            </w:pPr>
            <w:r>
              <w:t>(2)</w:t>
            </w:r>
          </w:p>
        </w:tc>
      </w:tr>
      <w:tr w:rsidR="00F85032">
        <w:trPr>
          <w:trHeight w:val="348"/>
        </w:trPr>
        <w:tc>
          <w:tcPr>
            <w:tcW w:w="7587" w:type="dxa"/>
            <w:tcBorders>
              <w:top w:val="nil"/>
              <w:left w:val="nil"/>
              <w:bottom w:val="nil"/>
              <w:right w:val="nil"/>
            </w:tcBorders>
          </w:tcPr>
          <w:p w:rsidR="00F85032" w:rsidRDefault="00C32646">
            <w:pPr>
              <w:spacing w:after="0" w:line="259" w:lineRule="auto"/>
              <w:ind w:left="14" w:firstLine="0"/>
              <w:jc w:val="left"/>
            </w:pPr>
            <w:r>
              <w:rPr>
                <w:i/>
              </w:rPr>
              <w:t>C</w:t>
            </w:r>
            <w:r>
              <w:t>(</w:t>
            </w:r>
            <w:r>
              <w:rPr>
                <w:i/>
              </w:rPr>
              <w:t>A,</w:t>
            </w:r>
            <w:r>
              <w:t>∆</w:t>
            </w:r>
            <w:r>
              <w:t xml:space="preserve">) = </w:t>
            </w:r>
            <w:r>
              <w:rPr>
                <w:rFonts w:ascii="Calibri" w:eastAsia="Calibri" w:hAnsi="Calibri" w:cs="Calibri"/>
              </w:rPr>
              <w:t>E</w:t>
            </w:r>
            <w:r>
              <w:t>[coste total]</w:t>
            </w:r>
            <w:r>
              <w:rPr>
                <w:i/>
              </w:rPr>
              <w:t>,</w:t>
            </w:r>
          </w:p>
        </w:tc>
        <w:tc>
          <w:tcPr>
            <w:tcW w:w="255" w:type="dxa"/>
            <w:tcBorders>
              <w:top w:val="nil"/>
              <w:left w:val="nil"/>
              <w:bottom w:val="nil"/>
              <w:right w:val="nil"/>
            </w:tcBorders>
          </w:tcPr>
          <w:p w:rsidR="00F85032" w:rsidRDefault="00C32646">
            <w:pPr>
              <w:spacing w:after="0" w:line="259" w:lineRule="auto"/>
              <w:ind w:firstLine="0"/>
            </w:pPr>
            <w:r>
              <w:t>(3)</w:t>
            </w:r>
          </w:p>
        </w:tc>
      </w:tr>
      <w:tr w:rsidR="00F85032">
        <w:trPr>
          <w:trHeight w:val="307"/>
        </w:trPr>
        <w:tc>
          <w:tcPr>
            <w:tcW w:w="7587" w:type="dxa"/>
            <w:tcBorders>
              <w:top w:val="nil"/>
              <w:left w:val="nil"/>
              <w:bottom w:val="nil"/>
              <w:right w:val="nil"/>
            </w:tcBorders>
          </w:tcPr>
          <w:p w:rsidR="00F85032" w:rsidRDefault="00C32646">
            <w:pPr>
              <w:spacing w:after="0" w:line="259" w:lineRule="auto"/>
              <w:ind w:left="13" w:firstLine="0"/>
              <w:jc w:val="left"/>
            </w:pPr>
            <w:r>
              <w:rPr>
                <w:i/>
              </w:rPr>
              <w:t>Q</w:t>
            </w:r>
            <w:r>
              <w:t>(</w:t>
            </w:r>
            <w:r>
              <w:rPr>
                <w:i/>
              </w:rPr>
              <w:t>A,</w:t>
            </w:r>
            <w:r>
              <w:t>∆</w:t>
            </w:r>
            <w:r>
              <w:t xml:space="preserve">) = </w:t>
            </w:r>
            <w:r>
              <w:rPr>
                <w:rFonts w:ascii="Calibri" w:eastAsia="Calibri" w:hAnsi="Calibri" w:cs="Calibri"/>
              </w:rPr>
              <w:t>E</w:t>
            </w:r>
            <w:r>
              <w:t>[an˜os de vida ajustados por calidad (QALYs)]</w:t>
            </w:r>
            <w:r>
              <w:rPr>
                <w:i/>
              </w:rPr>
              <w:t>.</w:t>
            </w:r>
          </w:p>
        </w:tc>
        <w:tc>
          <w:tcPr>
            <w:tcW w:w="255" w:type="dxa"/>
            <w:tcBorders>
              <w:top w:val="nil"/>
              <w:left w:val="nil"/>
              <w:bottom w:val="nil"/>
              <w:right w:val="nil"/>
            </w:tcBorders>
          </w:tcPr>
          <w:p w:rsidR="00F85032" w:rsidRDefault="00C32646">
            <w:pPr>
              <w:spacing w:after="0" w:line="259" w:lineRule="auto"/>
              <w:ind w:firstLine="0"/>
            </w:pPr>
            <w:r>
              <w:t>(4)</w:t>
            </w:r>
          </w:p>
        </w:tc>
      </w:tr>
    </w:tbl>
    <w:p w:rsidR="00F85032" w:rsidRDefault="00C32646">
      <w:pPr>
        <w:ind w:left="-15" w:right="135" w:firstLine="0"/>
      </w:pPr>
      <w:r>
        <w:t>Estas magnitudes resumen, respectivamente, la carga de radiaci´on a largo plazo, las consecuencias cl´ınicas de seguridad debidas a detecci´on tard´ıa u omisi´on, la carga econ´omica para el sistema sanitario (o pagador, segu´n la perspectiva anal´ıtica) y</w:t>
      </w:r>
      <w:r>
        <w:t xml:space="preserve"> el impacto agregado en utilidad de salud durante el horizonte modelado. Es importante sen˜alar que, aunque los cuatro resultados son relevantes, el contexto cl´ınico impone una estructura de prioridades fuertemente asim´etrica: no detectar una PAVM tratab</w:t>
      </w:r>
      <w:r>
        <w:t>le puede causar eventos catastr´oficos pero prevenibles, mientras que los dan˜os por radiaci´on se acumulan de manera probabil´ıstica y en horizontes m´as largos. Esta asimetr´ıa motiva una formulaci´on de optimizaci´on con restricciones en lugar de una ag</w:t>
      </w:r>
      <w:r>
        <w:t>regaci´on multiobjetivo no restringida.</w:t>
      </w:r>
    </w:p>
    <w:p w:rsidR="00F85032" w:rsidRDefault="00C32646">
      <w:pPr>
        <w:spacing w:after="210"/>
        <w:ind w:left="-15" w:right="135"/>
      </w:pPr>
      <w:r>
        <w:t>En consecuencia, formalizamos el requisito de “no omitir PAVM tratables” como una restricci´on de seguridad que acota la probabilidad de una detecci´on tard´ıa cl´ınicamente inaceptable. En concreto, definimos</w:t>
      </w:r>
    </w:p>
    <w:p w:rsidR="00F85032" w:rsidRDefault="00C32646">
      <w:pPr>
        <w:tabs>
          <w:tab w:val="center" w:pos="4819"/>
          <w:tab w:val="right" w:pos="9788"/>
        </w:tabs>
        <w:spacing w:after="263" w:line="259" w:lineRule="auto"/>
        <w:ind w:firstLine="0"/>
        <w:jc w:val="left"/>
      </w:pPr>
      <w:r>
        <w:rPr>
          <w:rFonts w:ascii="Calibri" w:eastAsia="Calibri" w:hAnsi="Calibri" w:cs="Calibri"/>
          <w:sz w:val="22"/>
        </w:rPr>
        <w:tab/>
      </w:r>
      <w:r>
        <w:t>Pr(PA</w:t>
      </w:r>
      <w:r>
        <w:t xml:space="preserve">VM tratable omitida durante </w:t>
      </w:r>
      <w:r>
        <w:rPr>
          <w:i/>
        </w:rPr>
        <w:t xml:space="preserve">τ </w:t>
      </w:r>
      <w:r>
        <w:t xml:space="preserve">an˜os) </w:t>
      </w:r>
      <w:r>
        <w:t xml:space="preserve">≤ </w:t>
      </w:r>
      <w:r>
        <w:rPr>
          <w:i/>
        </w:rPr>
        <w:t>ϵ</w:t>
      </w:r>
      <w:r>
        <w:rPr>
          <w:i/>
        </w:rPr>
        <w:t>,</w:t>
      </w:r>
      <w:r>
        <w:rPr>
          <w:i/>
        </w:rPr>
        <w:tab/>
      </w:r>
      <w:r>
        <w:t>(5)</w:t>
      </w:r>
    </w:p>
    <w:p w:rsidR="00F85032" w:rsidRDefault="00C32646">
      <w:pPr>
        <w:ind w:left="-15" w:right="135" w:firstLine="0"/>
      </w:pPr>
      <w:r>
        <w:t xml:space="preserve">donde </w:t>
      </w:r>
      <w:r>
        <w:rPr>
          <w:i/>
        </w:rPr>
        <w:t xml:space="preserve">τ </w:t>
      </w:r>
      <w:r>
        <w:t xml:space="preserve">denota el retraso m´aximo de detecci´on cl´ınicamente permisible y </w:t>
      </w:r>
      <w:r>
        <w:rPr>
          <w:i/>
        </w:rPr>
        <w:t>ϵ</w:t>
      </w:r>
      <w:r>
        <w:rPr>
          <w:i/>
        </w:rPr>
        <w:t xml:space="preserve"> </w:t>
      </w:r>
      <w:r>
        <w:t>es una tolerancia definida por la pol´ıtica (p.ej., 0.5–1%). Operativamente, esta restricci´on codifica un principio de seguridad pri</w:t>
      </w:r>
      <w:r>
        <w:t>mero: las pol´ıticas de vigilancia se consideran admisibles solo si mantienen la probabilidad de omisi´on prolongada de lesiones tratables por debajo de un umbral estricto. Dependiendo de la implementaci´on, el evento en (5) puede evaluarse a nivel de paci</w:t>
      </w:r>
      <w:r>
        <w:t>ente, a nivel de lesi´on o como un desenlace compuesto que incorpore detecci´on tard´ıa hasta complicaci´on neurol´ogica o cruce del umbral de tratabilidad, pero la intenci´on subyacente es la misma: identificaci´on oportuna de lesiones que deben desencade</w:t>
      </w:r>
      <w:r>
        <w:t>nar intervenci´on.</w:t>
      </w:r>
    </w:p>
    <w:p w:rsidR="00F85032" w:rsidRDefault="00C32646">
      <w:pPr>
        <w:spacing w:after="209"/>
        <w:ind w:left="-15" w:right="135"/>
      </w:pPr>
      <w:r>
        <w:t xml:space="preserve">Dentro del conjunto de pol´ıticas factibles </w:t>
      </w:r>
      <w:r>
        <w:t>P</w:t>
      </w:r>
      <w:r>
        <w:t>, el objetivo primario de optimizaci´on es entonces minimizar la dosis sujeta a la restricci´on de seguridad:</w:t>
      </w:r>
    </w:p>
    <w:p w:rsidR="00F85032" w:rsidRDefault="00C32646">
      <w:pPr>
        <w:tabs>
          <w:tab w:val="center" w:pos="3064"/>
          <w:tab w:val="center" w:pos="3844"/>
          <w:tab w:val="center" w:pos="4935"/>
          <w:tab w:val="center" w:pos="6281"/>
          <w:tab w:val="right" w:pos="9788"/>
        </w:tabs>
        <w:spacing w:after="0" w:line="259" w:lineRule="auto"/>
        <w:ind w:firstLine="0"/>
        <w:jc w:val="left"/>
      </w:pPr>
      <w:r>
        <w:rPr>
          <w:rFonts w:ascii="Calibri" w:eastAsia="Calibri" w:hAnsi="Calibri" w:cs="Calibri"/>
          <w:sz w:val="22"/>
        </w:rPr>
        <w:tab/>
      </w:r>
      <w:r>
        <w:t>min</w:t>
      </w:r>
      <w:r>
        <w:tab/>
      </w:r>
      <w:r>
        <w:rPr>
          <w:i/>
        </w:rPr>
        <w:t>D</w:t>
      </w:r>
      <w:r>
        <w:t>(</w:t>
      </w:r>
      <w:r>
        <w:rPr>
          <w:i/>
        </w:rPr>
        <w:t>A,</w:t>
      </w:r>
      <w:r>
        <w:t>∆</w:t>
      </w:r>
      <w:r>
        <w:t>)</w:t>
      </w:r>
      <w:r>
        <w:tab/>
        <w:t>sujeto a que</w:t>
      </w:r>
      <w:r>
        <w:tab/>
        <w:t>(5) se cumpla.</w:t>
      </w:r>
      <w:r>
        <w:tab/>
        <w:t>(6)</w:t>
      </w:r>
    </w:p>
    <w:p w:rsidR="00F85032" w:rsidRDefault="00C32646">
      <w:pPr>
        <w:spacing w:after="230" w:line="259" w:lineRule="auto"/>
        <w:ind w:left="2737" w:firstLine="0"/>
        <w:jc w:val="left"/>
      </w:pPr>
      <w:r>
        <w:rPr>
          <w:sz w:val="14"/>
        </w:rPr>
        <w:t>(</w:t>
      </w:r>
      <w:r>
        <w:rPr>
          <w:i/>
          <w:sz w:val="14"/>
        </w:rPr>
        <w:t>A,</w:t>
      </w:r>
      <w:r>
        <w:rPr>
          <w:sz w:val="14"/>
        </w:rPr>
        <w:t>∆</w:t>
      </w:r>
      <w:r>
        <w:rPr>
          <w:sz w:val="14"/>
        </w:rPr>
        <w:t>)∈P</w:t>
      </w:r>
    </w:p>
    <w:p w:rsidR="00F85032" w:rsidRDefault="00C32646">
      <w:pPr>
        <w:ind w:left="-15" w:right="135" w:firstLine="0"/>
      </w:pPr>
      <w:r>
        <w:t>Esta formulaci´on alinea directamente el objetivo matem´atico con la motivaci´on cl´ınica de la vigilancia pedi´atrica de la HHT: reducir al m´aximo la exposici´on a radiaci´on a lo largo de la vida, pero nunca aceptando un aumento inseguro en PAVM tratabl</w:t>
      </w:r>
      <w:r>
        <w:t>es omitidas. Los an´alisis secundarios pueden comparar despu´es las estrategias admisibles en otros resultados, incluyendo nu´mero de eventos prevenibles, coste total, QALYs y razones incrementales de coste-efectividad (ICER), proporcionando as´ı una inter</w:t>
      </w:r>
      <w:r>
        <w:t>pretaci´on de pol´ıtica m´as amplia una vez garantizada la seguridad. En la pr´actica, este marco tambi´en respalda el disen˜o de pol´ıticas estratificadas por riesgo al permitir que (</w:t>
      </w:r>
      <w:r>
        <w:rPr>
          <w:i/>
        </w:rPr>
        <w:t>A,</w:t>
      </w:r>
      <w:r>
        <w:t>∆</w:t>
      </w:r>
      <w:r>
        <w:t>) var´ıe entre estratos predefinidos (p.ej., genotipo, grado de TTCE,</w:t>
      </w:r>
      <w:r>
        <w:t xml:space="preserve"> estado previo de PAVM tratada, grupo etario), posibilitando una vigilancia m´as intensiva donde el riesgo es mayor y una vigilancia desescalada donde la seguridad a largo plazo pueda mantenerse.</w:t>
      </w:r>
    </w:p>
    <w:p w:rsidR="00F85032" w:rsidRDefault="00C32646">
      <w:pPr>
        <w:spacing w:after="330"/>
        <w:ind w:left="-15" w:right="135"/>
      </w:pPr>
      <w:r>
        <w:t>En conjunto, la literatura respalda la plausibilidad de la T</w:t>
      </w:r>
      <w:r>
        <w:t>C ULD como herramienta de reducci´on de dosis y la necesidad de una vigilancia rigurosa de PAVM en HHT, pero todav´ıa no proporciona una pol´ıtica de vigilancia pedi´atrica espec´ıfica, con restricci´on de seguridad y optimizada a lo largo de la vida. La p</w:t>
      </w:r>
      <w:r>
        <w:t>resente formulaci´on cierra esta brecha al conectar evidencia prospectiva de exactitud diagn´ostica para TC ULD pedi´atrica optimizada con un marco anal´ıtico de decisi´on capaz de evaluar compensaciones a largo plazo bajo un principio expl´ıcito de no omi</w:t>
      </w:r>
      <w:r>
        <w:t>tir lesiones tratables.</w:t>
      </w:r>
    </w:p>
    <w:p w:rsidR="00F85032" w:rsidRDefault="00C32646">
      <w:pPr>
        <w:pStyle w:val="Heading1"/>
        <w:spacing w:after="189"/>
        <w:ind w:left="463" w:right="135" w:hanging="478"/>
      </w:pPr>
      <w:r>
        <w:t xml:space="preserve">Metodolog´ıa, an´alisis te´orico y evaluaci´on </w:t>
      </w:r>
      <w:r>
        <w:rPr>
          <w:rFonts w:ascii="Calibri" w:eastAsia="Calibri" w:hAnsi="Calibri" w:cs="Calibri"/>
          <w:b w:val="0"/>
          <w:i/>
        </w:rPr>
        <w:t>in silico</w:t>
      </w:r>
    </w:p>
    <w:p w:rsidR="00F85032" w:rsidRDefault="00C32646">
      <w:pPr>
        <w:spacing w:after="288"/>
        <w:ind w:left="-15" w:right="135" w:firstLine="0"/>
      </w:pPr>
      <w:r>
        <w:t>Para traducir el concepto propuesto de vigilancia pedi´atrica de la HHT en un marco cl´ınicamente comprobable y relevante para la toma de decisiones, empleamos una metodolog´ı</w:t>
      </w:r>
      <w:r>
        <w:t>a en dos partes que vincula expl´ıcitamente la generaci´on prospectiva de evidencia diagn´ostica con el modelado de decisi´on a lo largo de la vida. La Parte I consiste en un estudio multic´entrico prospectivo de exactitud diagn´ostica disen˜ado para estim</w:t>
      </w:r>
      <w:r>
        <w:t>ar el rendimiento en condiciones reales de la tomograf´ıa computarizada (TC) tor´acica pedi´atrica optimizada de dosis ultrabaja (ULD) para detectar malformaciones arteriovenosas pulmonares (PAVM) candidatas a embolizaci´on. La Parte II consiste en una mic</w:t>
      </w:r>
      <w:r>
        <w:t>rosimulaci´on individual a lo largo de la vida que utiliza estas entradas diagn´osticas, junto con la progresi´on de la enfermedad, los efectos del tratamiento, proxies de exposici´on a radiaci´on y resultados a largo plazo, para evaluar estrategias candid</w:t>
      </w:r>
      <w:r>
        <w:t>atas de vigilancia bajo la restricci´on formal de seguridad introducida en la Secci´on 5. Adem´as, derivamos cotas te´oricas simples que proporcionan un cribado intuitivo de factibilidad antes de la simulaci´on completa y presentamos una evaluaci´on parame</w:t>
      </w:r>
      <w:r>
        <w:t xml:space="preserve">trizada </w:t>
      </w:r>
      <w:r>
        <w:rPr>
          <w:i/>
        </w:rPr>
        <w:t xml:space="preserve">in silico </w:t>
      </w:r>
      <w:r>
        <w:t>para ilustrar el comportamiento esperado de las pol´ıticas e identificar las fuentes dominantes de incertidumbre.</w:t>
      </w:r>
    </w:p>
    <w:p w:rsidR="00F85032" w:rsidRDefault="00C32646">
      <w:pPr>
        <w:pStyle w:val="Heading2"/>
        <w:ind w:left="598" w:right="135" w:hanging="613"/>
      </w:pPr>
      <w:r>
        <w:t>Arquitectura general del estudio</w:t>
      </w:r>
    </w:p>
    <w:p w:rsidR="00F85032" w:rsidRDefault="00C32646">
      <w:pPr>
        <w:ind w:left="-15" w:right="135" w:firstLine="0"/>
      </w:pPr>
      <w:r>
        <w:t xml:space="preserve">El marco general es intencionadamente secuencial y vinculado por evidencia. En primer lugar, el rendimiento de la TC ULD pedi´atrica se estima prospectivamente en una cohorte cl´ınicamente representativa utilizando un patr´on de referencia compuesto y una </w:t>
      </w:r>
      <w:r>
        <w:t>adjudicaci´on estructurada. Estas estimaciones incluyen sensibilidad/especificidad a nivel de lesi´on y de paciente para PAVM candidatas a embolizaci´on, concordancia entre lectores y m´etricas relacionadas con la dosis (incluyendo SSDE). En segundo lugar,</w:t>
      </w:r>
      <w:r>
        <w:t xml:space="preserve"> las distribuciones resultantes del rendimiento diagn´ostico se propagan a un modelo de microsimulaci´on a lo largo de la vida que compara pol´ıticas de vigilancia que var´ıan en la v´ıa de modalidad de imagen, el calendario de intervalos y las reglas de e</w:t>
      </w:r>
      <w:r>
        <w:t>stratificaci´on por riesgo. En tercer lugar, se utilizan desigualdades te´oricas de cribado como heur´ısticas conservadoras de disen˜o para eliminar estrategias claramente inviables antes de la simulaci´on a gran escala. Finalmente, el an´alisis de sensibi</w:t>
      </w:r>
      <w:r>
        <w:t>lidad probabil´ıstico (PSA) cuantifica la incertidumbre en la decisi´on e identifica par´ametros para la priorizaci´on de evidencia futura.</w:t>
      </w:r>
    </w:p>
    <w:p w:rsidR="00F85032" w:rsidRDefault="00C32646">
      <w:pPr>
        <w:spacing w:after="288"/>
        <w:ind w:left="-15" w:right="135"/>
      </w:pPr>
      <w:r>
        <w:t>Esta arquitectura cumple dos prop´ositos. Desde el punto de vista metodol´ogico, evita una dependencia excesiva de s</w:t>
      </w:r>
      <w:r>
        <w:t>upuestos diagn´osticos derivados exclusivamente de la literatura en una poblaci´on pedi´atrica donde la evidencia directa es escasa. Desde el punto de vista cl´ınico, permite que las recomendaciones de pol´ıtica est´en ancladas en una cadena transparente q</w:t>
      </w:r>
      <w:r>
        <w:t>ue va desde la adquisici´on e interpretaci´on de im´agenes hasta los resultados del paciente a largo plazo.</w:t>
      </w:r>
    </w:p>
    <w:p w:rsidR="00F85032" w:rsidRDefault="00C32646">
      <w:pPr>
        <w:pStyle w:val="Heading2"/>
        <w:ind w:left="598" w:right="135" w:hanging="613"/>
      </w:pPr>
      <w:r>
        <w:t>Parte I: Estudio prospectivo pedi´atrico de exactitud diagno´stica</w:t>
      </w:r>
    </w:p>
    <w:p w:rsidR="00F85032" w:rsidRDefault="00C32646">
      <w:pPr>
        <w:pStyle w:val="Heading3"/>
        <w:ind w:left="685" w:hanging="700"/>
      </w:pPr>
      <w:r>
        <w:t>Disen˜o, entorno y poblaci´on objetivo</w:t>
      </w:r>
    </w:p>
    <w:p w:rsidR="00F85032" w:rsidRDefault="00C32646">
      <w:pPr>
        <w:ind w:left="-15" w:right="135" w:firstLine="0"/>
      </w:pPr>
      <w:r>
        <w:t>Proponemos un estudio de cohorte multic´en</w:t>
      </w:r>
      <w:r>
        <w:t>trico, prospectivo y de exactitud diagn´ostica que incluya nin˜os, adolescentes y adultos j´ovenes de 0–21 an˜os con telangiectasia hemorr´agica hereditaria (HHT) sospechada o confirmada, que se sometan a evaluaci´on cl´ınicamente indicada de malformacione</w:t>
      </w:r>
      <w:r>
        <w:t xml:space="preserve">s arteriovenosas pulmonares (PAVM). Los centros participantes incluyen centros de referencia en HHT y unidades de radiolog´ıa pedi´atrica para asegurar una amplia representaci´on de casu´ıstica, incluyendo variaci´on en edad, h´abito corporal, fenotipo de </w:t>
      </w:r>
      <w:r>
        <w:t>HHT, antecedentes de tratamiento de PAVM y motivo de derivaci´on (cribado, seguimiento o evaluaci´on pos-embolizaci´on). Un disen˜o multic´entrico es esencial porque la HHT pedi´atrica es relativamente infrecuente y porque tanto los patrones de pr´actica e</w:t>
      </w:r>
      <w:r>
        <w:t>n imagen como las caracter´ısticas de los pacientes pueden diferir entre instituciones.</w:t>
      </w:r>
    </w:p>
    <w:p w:rsidR="00F85032" w:rsidRDefault="00C32646">
      <w:pPr>
        <w:spacing w:after="246"/>
        <w:ind w:left="-15" w:right="135"/>
      </w:pPr>
      <w:r>
        <w:t>La poblaci´on objetivo se define para reflejar v´ıas reales de vigilancia, m´as que una muestra de validaci´on artificialmente estrecha. Para reducir el sesgo de espect</w:t>
      </w:r>
      <w:r>
        <w:t>ro, el estudio pretende incluir pacientes con pruebas de cribado previas positivas y negativas (p.ej., TTCE), pacientes con PAVM conocidas no tratadas y pacientes en seguimiento tras embolizaci´on previa cuando sea cl´ınicamente apropiado. Los criterios de</w:t>
      </w:r>
      <w:r>
        <w:t xml:space="preserve"> inclusi´on y exclusi´on se estructuran para preservar la generalizaci´on cl´ınica, garantizando al mismo tiempo una adquisici´on de imagen interpretable (p.ej., excluyendo solo los casos en los que la TC no pueda realizarse de manera segura o ´etica).</w:t>
      </w:r>
    </w:p>
    <w:p w:rsidR="00F85032" w:rsidRDefault="00C32646">
      <w:pPr>
        <w:pStyle w:val="Heading3"/>
        <w:ind w:left="685" w:hanging="700"/>
      </w:pPr>
      <w:r>
        <w:t>Pru</w:t>
      </w:r>
      <w:r>
        <w:t>eba ´ındice: TC tor´acica ULD pedi´atrica optimizada sin contraste</w:t>
      </w:r>
    </w:p>
    <w:p w:rsidR="00F85032" w:rsidRDefault="00C32646">
      <w:pPr>
        <w:ind w:left="-15" w:right="135" w:firstLine="0"/>
      </w:pPr>
      <w:r>
        <w:t>La prueba ´ındice es un protocolo de TC tor´acica ULD sin contraste, optimizado para poblaci´on pedi´atrica, configurado para minimizar la exposici´on a radiaci´on preservando la conspicuid</w:t>
      </w:r>
      <w:r>
        <w:t>ad vascular para la detecci´on y caracterizaci´on de PAVM. Los elementos del protocolo incluyen selecci´on de bajo voltaje del tubo adaptada al taman˜o del paciente, ajustes pedi´atricos de referencia para control autom´atico de exposici´on y m´etodos avan</w:t>
      </w:r>
      <w:r>
        <w:t xml:space="preserve">zados de reconstrucci´on (reconstrucci´on iterativa y/o reconstrucci´on basada en aprendizaje profundo cuando est´en disponibles). Se esperan diferencias entre esc´aneres segu´n el centro; por ello, el protocolo se define como una envolvente armonizada de </w:t>
      </w:r>
      <w:r>
        <w:t>par´ametros y no como una u´nica configuraci´on fija de adquisici´on. Esto permite a los centros implementar configuraciones compatibles con distintos fabricantes manteniendo objetivos comparables de dosis y calidad de imagen.</w:t>
      </w:r>
    </w:p>
    <w:p w:rsidR="00F85032" w:rsidRDefault="00C32646">
      <w:pPr>
        <w:ind w:left="-15" w:right="135"/>
      </w:pPr>
      <w:r>
        <w:t>Los descriptores de dosis y e</w:t>
      </w:r>
      <w:r>
        <w:t>xposici´on se registran prospectivamente para cada exploraci´on, incluyendo CTDI</w:t>
      </w:r>
      <w:r>
        <w:rPr>
          <w:vertAlign w:val="subscript"/>
        </w:rPr>
        <w:t>vol</w:t>
      </w:r>
      <w:r>
        <w:t>, producto dosis-longitud (DLP) y estimaci´on de dosis espec´ıfica por taman˜o (SSDE), con ´enfasis en SSDE como m´etrica m´as relevante para el paciente en imagen pedi´atri</w:t>
      </w:r>
      <w:r>
        <w:t>ca [18]. Metadatos adicionales de adquisici´on incluyen modelo del esc´aner, kernel/intensidad de reconstrucci´on, artefactos por movimiento y necesidad de sedaci´on o soporte anest´esico. La interpretaci´on de im´agenes es realizada por lectores entrenado</w:t>
      </w:r>
      <w:r>
        <w:t>s mediante un formulario de puntuaci´on estandarizado que recoge presencia de lesi´on, categor´ıa del di´ametro de la arteria nutricia, confianza del lector y limitaciones de la imagen.</w:t>
      </w:r>
    </w:p>
    <w:p w:rsidR="00F85032" w:rsidRDefault="00C32646">
      <w:pPr>
        <w:spacing w:after="246"/>
        <w:ind w:left="-15" w:right="135"/>
      </w:pPr>
      <w:r>
        <w:t>Dado que la detectabilidad de lesiones puede depender del taman˜o corp</w:t>
      </w:r>
      <w:r>
        <w:t xml:space="preserve">oral, la edad y el movimiento, los an´alisis planificados incluyen estimaci´on del rendimiento por subgrupos estratificados en categor´ıas cl´ınicamente relevantes (p.ej., bandas de edad, sustitutos de taman˜o corporal y estado de sedaci´on). Esto permite </w:t>
      </w:r>
      <w:r>
        <w:t>cuantificar de forma directa si el rendimiento de la ULD es estable en todo el espectro pedi´atrico o si subgrupos espec´ıficos requieren protocolos modificados o v´ıas de vigilancia diferentes.</w:t>
      </w:r>
    </w:p>
    <w:p w:rsidR="00F85032" w:rsidRDefault="00C32646">
      <w:pPr>
        <w:pStyle w:val="Heading3"/>
        <w:ind w:left="685" w:hanging="700"/>
      </w:pPr>
      <w:r>
        <w:t>Patr´on de referencia y marco de adjudicaci´on</w:t>
      </w:r>
    </w:p>
    <w:p w:rsidR="00F85032" w:rsidRDefault="00C32646">
      <w:pPr>
        <w:spacing w:after="151"/>
        <w:ind w:left="-15" w:right="135" w:firstLine="0"/>
      </w:pPr>
      <w:r>
        <w:t xml:space="preserve">Se utiliza un </w:t>
      </w:r>
      <w:r>
        <w:t>patr´on de referencia compuesto para reflejar la realidad de que no existe una u´nica modalidad de verificaci´on disponible para todos los participantes:</w:t>
      </w:r>
    </w:p>
    <w:p w:rsidR="00F85032" w:rsidRDefault="00C32646">
      <w:pPr>
        <w:spacing w:after="53" w:line="402" w:lineRule="auto"/>
        <w:ind w:left="199" w:right="135" w:firstLine="0"/>
      </w:pPr>
      <w:r>
        <w:t>mediciones angiogr´aficas y hallazgos procedimentales en pacientes sometidos a embolizaci´on, imagen e</w:t>
      </w:r>
      <w:r>
        <w:t>st´andar de la atenci´on habitual (incluyendo TC convencional de baja dosis si se obtiene cl´ınicamente), y seguimiento estructurado (imagen repetida y vigilancia cl´ınica) para adjudicar casos discordantes o inicialmente negativos.</w:t>
      </w:r>
    </w:p>
    <w:p w:rsidR="00F85032" w:rsidRDefault="00C32646">
      <w:pPr>
        <w:ind w:left="-15" w:right="135"/>
      </w:pPr>
      <w:r>
        <w:t xml:space="preserve">Este enfoque compuesto </w:t>
      </w:r>
      <w:r>
        <w:t>est´a disen˜ado para maximizar la validez cl´ınica y limitar el sesgo de verificaci´on. Los pacientes con hallazgos positivos en la prueba ´ındice que reciben tratamiento aportan confirmaci´on de alta certeza de la lesi´on y caracterizaci´on de taman˜o med</w:t>
      </w:r>
      <w:r>
        <w:t>iante angiograf´ıa. Los pacientes sin confirmaci´on invasiva inmediata se siguen longitudinalmente usando reglas de adjudicaci´on preespecificadas basadas en imagen repetida y resultados cl´ınicos. Los casos discordantes (p.ej., lesiones inciertas en TC UL</w:t>
      </w:r>
      <w:r>
        <w:t>D, TTCE positiva pero TC negativa, o aparici´on intervalar de lesiones) son revisados por un panel de adjudicaci´on cegado a algunos componentes cuando sea factible.</w:t>
      </w:r>
    </w:p>
    <w:p w:rsidR="00F85032" w:rsidRDefault="00C32646">
      <w:pPr>
        <w:spacing w:after="246"/>
        <w:ind w:left="-15" w:right="135"/>
      </w:pPr>
      <w:r>
        <w:t>Dado que no todos los participantes se someter´an a verificaci´on completa, el sesgo de ve</w:t>
      </w:r>
      <w:r>
        <w:t>rificaci´on parcial es un riesgo metodol´ogico reconocido. Para abordarlo, los an´alisis primarios se complementan con modelado de clases latentes y an´alisis de sensibilidad estructurados que var´ıan supuestos sobre negativos no verificados y casos equ´ıv</w:t>
      </w:r>
      <w:r>
        <w:t>ocos [23]. Estos an´alisis proporcionan cotas de rendimiento diagn´ostico plausible y ayudan a determinar en qu´e medida las conclusiones de pol´ıtica dependen de los supuestos de verificaci´on.</w:t>
      </w:r>
    </w:p>
    <w:p w:rsidR="00F85032" w:rsidRDefault="00C32646">
      <w:pPr>
        <w:pStyle w:val="Heading3"/>
        <w:ind w:left="685" w:hanging="700"/>
      </w:pPr>
      <w:r>
        <w:t>Desenlaces y m´etricas de rendimiento</w:t>
      </w:r>
    </w:p>
    <w:p w:rsidR="00F85032" w:rsidRDefault="00C32646">
      <w:pPr>
        <w:ind w:left="-15" w:right="135" w:firstLine="0"/>
      </w:pPr>
      <w:r>
        <w:t xml:space="preserve">El desenlace diagn´ostico primario es la sensibilidad para detectar PAVM candidatas a embolizaci´on, operacionalizada como lesiones con di´ametro de la arteria nutricia </w:t>
      </w:r>
      <w:r>
        <w:t xml:space="preserve">≥ </w:t>
      </w:r>
      <w:r>
        <w:t xml:space="preserve">2 mm. Este desenlace se elige porque se alinea directamente con el objetivo cl´ınico </w:t>
      </w:r>
      <w:r>
        <w:t>de seguridad de no omitir lesiones tratables y, por tanto, constituye la entrada clave para la optimizaci´on de vigilancia posterior.</w:t>
      </w:r>
    </w:p>
    <w:p w:rsidR="00F85032" w:rsidRDefault="00C32646">
      <w:pPr>
        <w:spacing w:after="2" w:line="460" w:lineRule="auto"/>
        <w:ind w:left="184" w:right="1942" w:firstLine="100"/>
        <w:jc w:val="left"/>
      </w:pPr>
      <w:r>
        <w:t>Los desenlaces secundarios incluyen: especificidad para la detecci´on de PAVM candidatas a embolizaci´on, concordancia ent</w:t>
      </w:r>
      <w:r>
        <w:t xml:space="preserve">re lectores (coeficiente </w:t>
      </w:r>
      <w:r>
        <w:rPr>
          <w:i/>
        </w:rPr>
        <w:t xml:space="preserve">κ </w:t>
      </w:r>
      <w:r>
        <w:t xml:space="preserve">de Cohen o </w:t>
      </w:r>
      <w:r>
        <w:rPr>
          <w:i/>
        </w:rPr>
        <w:t xml:space="preserve">κ </w:t>
      </w:r>
      <w:r>
        <w:t>ponderado, segu´n corresponda), confianza del lector y puntuaciones de conspicuidad de la lesi´on, gravedad de artefactos por movimiento y frecuencia de estudios no diagn´osticos, tasa de sedaci´on y carga de trabajo</w:t>
      </w:r>
      <w:r>
        <w:t xml:space="preserve"> relacionada con la sedaci´on, y m´etricas de dosis de radiaci´on (CTDI</w:t>
      </w:r>
      <w:r>
        <w:rPr>
          <w:vertAlign w:val="subscript"/>
        </w:rPr>
        <w:t>vol</w:t>
      </w:r>
      <w:r>
        <w:t>, DLP, SSDE).</w:t>
      </w:r>
    </w:p>
    <w:p w:rsidR="00F85032" w:rsidRDefault="00C32646">
      <w:pPr>
        <w:spacing w:after="246"/>
        <w:ind w:left="-15" w:right="135"/>
      </w:pPr>
      <w:r>
        <w:t>Adem´as, recomendamos an´alisis en paralelo a nivel de lesi´on (cuando sea factible) y a nivel de paciente, ya que las decisiones de vigilancia se toman a nivel de paci</w:t>
      </w:r>
      <w:r>
        <w:t>ente, mientras que los desencadenantes de embolizaci´on suelen depender de caracter´ısticas a nivel de lesi´on. Los an´alisis de calibraci´on que relacionen el taman˜o de lesi´on medido con el taman˜o de referencia adjudicado tambi´en pueden ser informativ</w:t>
      </w:r>
      <w:r>
        <w:t>os para la confianza en el umbral terap´eutico, especialmente cerca del umbral de 2 mm de la arteria nutricia.</w:t>
      </w:r>
    </w:p>
    <w:p w:rsidR="00F85032" w:rsidRDefault="00C32646">
      <w:pPr>
        <w:pStyle w:val="Heading3"/>
        <w:ind w:left="685" w:hanging="700"/>
      </w:pPr>
      <w:r>
        <w:t>Planificaci´on del taman˜o muestral y heterogeneidad multic´entrica</w:t>
      </w:r>
    </w:p>
    <w:p w:rsidR="00F85032" w:rsidRDefault="00C32646">
      <w:pPr>
        <w:spacing w:after="115"/>
        <w:ind w:left="-15" w:right="135" w:firstLine="0"/>
      </w:pPr>
      <w:r>
        <w:t>Para el desenlace primario (sensibilidad), una aproximaci´on inicial de plani</w:t>
      </w:r>
      <w:r>
        <w:t xml:space="preserve">ficaci´on puede basarse en el nu´mero de sujetos con enfermedad (es decir, pacientes con PAVM candidatas a embolizaci´on en el patr´on de referencia). Si </w:t>
      </w:r>
      <w:r>
        <w:rPr>
          <w:i/>
        </w:rPr>
        <w:t xml:space="preserve">p </w:t>
      </w:r>
      <w:r>
        <w:t xml:space="preserve">denota la sensibilidad anticipada y </w:t>
      </w:r>
      <w:r>
        <w:rPr>
          <w:i/>
        </w:rPr>
        <w:t xml:space="preserve">w </w:t>
      </w:r>
      <w:r>
        <w:t>la semiamplitud deseada de un intervalo de confianza bilateral</w:t>
      </w:r>
      <w:r>
        <w:t xml:space="preserve"> del 95%, una aproximaci´on binomial conservadora produce</w:t>
      </w:r>
    </w:p>
    <w:p w:rsidR="00F85032" w:rsidRDefault="00C32646">
      <w:pPr>
        <w:tabs>
          <w:tab w:val="center" w:pos="4804"/>
          <w:tab w:val="right" w:pos="9788"/>
        </w:tabs>
        <w:spacing w:after="155" w:line="259" w:lineRule="auto"/>
        <w:ind w:firstLine="0"/>
        <w:jc w:val="left"/>
      </w:pPr>
      <w:r>
        <w:rPr>
          <w:rFonts w:ascii="Calibri" w:eastAsia="Calibri" w:hAnsi="Calibri" w:cs="Calibri"/>
          <w:sz w:val="22"/>
        </w:rPr>
        <w:tab/>
      </w:r>
      <w:r>
        <w:rPr>
          <w:noProof/>
        </w:rPr>
        <w:drawing>
          <wp:inline distT="0" distB="0" distL="0" distR="0">
            <wp:extent cx="1024128" cy="283464"/>
            <wp:effectExtent l="0" t="0" r="0" b="0"/>
            <wp:docPr id="24330" name="Picture 24330"/>
            <wp:cNvGraphicFramePr/>
            <a:graphic xmlns:a="http://schemas.openxmlformats.org/drawingml/2006/main">
              <a:graphicData uri="http://schemas.openxmlformats.org/drawingml/2006/picture">
                <pic:pic xmlns:pic="http://schemas.openxmlformats.org/drawingml/2006/picture">
                  <pic:nvPicPr>
                    <pic:cNvPr id="24330" name="Picture 24330"/>
                    <pic:cNvPicPr/>
                  </pic:nvPicPr>
                  <pic:blipFill>
                    <a:blip r:embed="rId7"/>
                    <a:stretch>
                      <a:fillRect/>
                    </a:stretch>
                  </pic:blipFill>
                  <pic:spPr>
                    <a:xfrm>
                      <a:off x="0" y="0"/>
                      <a:ext cx="1024128" cy="283464"/>
                    </a:xfrm>
                    <a:prstGeom prst="rect">
                      <a:avLst/>
                    </a:prstGeom>
                  </pic:spPr>
                </pic:pic>
              </a:graphicData>
            </a:graphic>
          </wp:inline>
        </w:drawing>
      </w:r>
      <w:r>
        <w:rPr>
          <w:i/>
        </w:rPr>
        <w:t>,</w:t>
      </w:r>
      <w:r>
        <w:rPr>
          <w:i/>
        </w:rPr>
        <w:tab/>
      </w:r>
      <w:r>
        <w:t>(7)</w:t>
      </w:r>
    </w:p>
    <w:p w:rsidR="00F85032" w:rsidRDefault="00C32646">
      <w:pPr>
        <w:ind w:left="-15" w:right="135" w:firstLine="0"/>
      </w:pPr>
      <w:r>
        <w:t xml:space="preserve">donde </w:t>
      </w:r>
      <w:r>
        <w:rPr>
          <w:i/>
        </w:rPr>
        <w:t xml:space="preserve">n </w:t>
      </w:r>
      <w:r>
        <w:t>es el nu´mero requerido de sujetos con enfermedad. El objetivo total de reclutamiento se determina despu´es incrementando por la prevalencia esperada de PAVM candidatas a embolizaci´on en el espectro reclutado, la heterogeneidad entre centros, la verificac</w:t>
      </w:r>
      <w:r>
        <w:t>i´on incompleta y la posible presencia de exploraciones no evaluables.</w:t>
      </w:r>
    </w:p>
    <w:p w:rsidR="00F85032" w:rsidRDefault="00C32646">
      <w:pPr>
        <w:spacing w:after="290"/>
        <w:ind w:left="-15"/>
      </w:pPr>
      <w:r>
        <w:t>Dado que los estudios multic´entricos pueden mostrar heterogeneidad en adquisici´on, interpretaci´on y casu´ıstica, la planificaci´on debe incorporar efectos de disen˜o o supuestos de m</w:t>
      </w:r>
      <w:r>
        <w:t xml:space="preserve">odelado jer´arquico. En el an´alisis final, pueden utilizarse enfoques de efectos mixtos o bayesianos jer´arquicos para estimar el rendimiento combinado y cuantificar la variaci´on entre centros. Esto es especialmente importante porque la microsimulaci´on </w:t>
      </w:r>
      <w:r>
        <w:t>posterior puede necesitar propagar incertidumbre no solo en la sensibilidad promedio, sino tambi´en en la posibilidad de que el rendimiento se degrade en determinados entornos asistenciales.</w:t>
      </w:r>
    </w:p>
    <w:p w:rsidR="00F85032" w:rsidRDefault="00C32646">
      <w:pPr>
        <w:pStyle w:val="Heading2"/>
        <w:ind w:left="598" w:right="135" w:hanging="613"/>
      </w:pPr>
      <w:r>
        <w:t>Parte II: Microsimulacio´n de transici´on de estados a lo largo d</w:t>
      </w:r>
      <w:r>
        <w:t>e la vida</w:t>
      </w:r>
    </w:p>
    <w:p w:rsidR="00F85032" w:rsidRDefault="00C32646">
      <w:pPr>
        <w:pStyle w:val="Heading3"/>
        <w:ind w:left="685" w:hanging="700"/>
      </w:pPr>
      <w:r>
        <w:t>Objetivo del modelo y perspectiva</w:t>
      </w:r>
    </w:p>
    <w:p w:rsidR="00F85032" w:rsidRDefault="00C32646">
      <w:pPr>
        <w:ind w:left="-15" w:right="135" w:firstLine="0"/>
      </w:pPr>
      <w:r>
        <w:t>El modelo de microsimulaci´on est´a disen˜ado para evaluar las consecuencias a lo largo de la vida de estrategias alternativas de vigilancia para pacientes pedi´atricos y j´ovenes con HHT sospechada o confirmada,</w:t>
      </w:r>
      <w:r>
        <w:t xml:space="preserve"> condicionado al rendimiento diagn´ostico y a las caracter´ısticas de dosis medidos en la Parte I. El objetivo principal de pol´ıtica es identificar estrategias que minimicen la exposici´on acumulada a radiaci´on mientras satisfacen la restricci´on de segu</w:t>
      </w:r>
      <w:r>
        <w:t>ridad de no omitir PAVM tratables de la Ec. (5). Los desenlaces secundarios incluyen eventos neurol´ogicos prevenibles, costes totales, QALYs y coste-efectividad incremental.</w:t>
      </w:r>
    </w:p>
    <w:p w:rsidR="00F85032" w:rsidRDefault="00C32646">
      <w:pPr>
        <w:spacing w:after="246"/>
        <w:ind w:left="-15" w:right="135"/>
      </w:pPr>
      <w:r>
        <w:t>El modelo se implementa a nivel individual (microsimulaci´on) en lugar de un mode</w:t>
      </w:r>
      <w:r>
        <w:t>lo de Markov de cohorte simple, para permitir una representaci´on flexible de la heterogeneidad de pacientes (p.ej., estratos basales de riesgo, hallazgos previos, edad de entrada e historia de la v´ıa de vigilancia) y de decisiones dependientes de la tray</w:t>
      </w:r>
      <w:r>
        <w:t>ectoria (p.ej., ampliaci´on de intervalos tras exploraciones negativas repetidas o intensificaci´on tras hallazgos positivos en TTCE).</w:t>
      </w:r>
    </w:p>
    <w:p w:rsidR="00F85032" w:rsidRDefault="00C32646">
      <w:pPr>
        <w:pStyle w:val="Heading3"/>
        <w:ind w:left="685" w:hanging="700"/>
      </w:pPr>
      <w:r>
        <w:t>Horizonte temporal, longitud del ciclo y estados de salud</w:t>
      </w:r>
    </w:p>
    <w:p w:rsidR="00F85032" w:rsidRDefault="00C32646">
      <w:pPr>
        <w:ind w:left="-15" w:right="135" w:firstLine="0"/>
      </w:pPr>
      <w:r>
        <w:t>Utilizamos ciclos anuales desde la edad de entrada al modelo ha</w:t>
      </w:r>
      <w:r>
        <w:t>sta la muerte, capturando as´ı el largo horizonte de vigilancia relevante en condiciones de inicio pedi´atrico. El uso de ciclos anuales constituye una elecci´on pr´actica de caso base alineada con calendarios de seguimiento habituales; en an´alisis de esc</w:t>
      </w:r>
      <w:r>
        <w:t>enarios pueden evaluarse ciclos m´as cortos cuando se represente un seguimiento m´as frecuente tras el tratamiento.</w:t>
      </w:r>
    </w:p>
    <w:p w:rsidR="00F85032" w:rsidRDefault="00C32646">
      <w:pPr>
        <w:spacing w:line="456" w:lineRule="auto"/>
        <w:ind w:left="199" w:right="716" w:firstLine="100"/>
      </w:pPr>
      <w:r>
        <w:t>Los estados de salud centrales representan el estado de las PAVM y sus principales secuelas: ausencia de PAVM tratable,</w:t>
      </w:r>
    </w:p>
    <w:p w:rsidR="00F85032" w:rsidRDefault="00C32646">
      <w:pPr>
        <w:spacing w:after="2" w:line="460" w:lineRule="auto"/>
        <w:ind w:left="194" w:right="6297" w:hanging="10"/>
        <w:jc w:val="left"/>
      </w:pPr>
      <w:r>
        <w:t>PAVM tratable (no diagnosticada), PAVM tratada, estado posterior a evento neurol´ogico, muerte (todas las causas).</w:t>
      </w:r>
    </w:p>
    <w:p w:rsidR="00F85032" w:rsidRDefault="00C32646">
      <w:pPr>
        <w:ind w:left="-15" w:right="135" w:firstLine="0"/>
      </w:pPr>
      <w:r>
        <w:t>Las transiciones incluyen progresi´on estoc´astica desde enfermedad subumbral hacia lesiones tratables, detecci´on y tratamiento dependientes</w:t>
      </w:r>
      <w:r>
        <w:t xml:space="preserve"> de la estrategia, eventos neurol´ogicos en enfermedad tratable no diagnosticada y mortalidad espec´ıfica por estado. La mortalidad de fondo se aplica desde todos los estados de vida, mientras que los estados posteriores a eventos pueden conllevar exceso d</w:t>
      </w:r>
      <w:r>
        <w:t>e mortalidad y decremento de utilidad. En implementaciones ampliadas, pueden introducirse subestados adicionales (p.ej., PAVM residual/recurrente tras embolizaci´on, lesiones mu´ltiples o complicaciones del tratamiento) si los datos los respaldan.</w:t>
      </w:r>
    </w:p>
    <w:p w:rsidR="00F85032" w:rsidRDefault="00C32646">
      <w:pPr>
        <w:spacing w:after="304" w:line="259" w:lineRule="auto"/>
        <w:ind w:left="741" w:firstLine="0"/>
        <w:jc w:val="left"/>
      </w:pPr>
      <w:r>
        <w:rPr>
          <w:rFonts w:ascii="Calibri" w:eastAsia="Calibri" w:hAnsi="Calibri" w:cs="Calibri"/>
          <w:noProof/>
          <w:sz w:val="22"/>
        </w:rPr>
        <mc:AlternateContent>
          <mc:Choice Requires="wpg">
            <w:drawing>
              <wp:inline distT="0" distB="0" distL="0" distR="0">
                <wp:extent cx="5138931" cy="1540164"/>
                <wp:effectExtent l="0" t="0" r="0" b="0"/>
                <wp:docPr id="22741" name="Group 22741"/>
                <wp:cNvGraphicFramePr/>
                <a:graphic xmlns:a="http://schemas.openxmlformats.org/drawingml/2006/main">
                  <a:graphicData uri="http://schemas.microsoft.com/office/word/2010/wordprocessingGroup">
                    <wpg:wgp>
                      <wpg:cNvGrpSpPr/>
                      <wpg:grpSpPr>
                        <a:xfrm>
                          <a:off x="0" y="0"/>
                          <a:ext cx="5138931" cy="1540164"/>
                          <a:chOff x="0" y="0"/>
                          <a:chExt cx="5138931" cy="1540164"/>
                        </a:xfrm>
                      </wpg:grpSpPr>
                      <wps:wsp>
                        <wps:cNvPr id="620" name="Shape 620"/>
                        <wps:cNvSpPr/>
                        <wps:spPr>
                          <a:xfrm>
                            <a:off x="0" y="91732"/>
                            <a:ext cx="1080014" cy="339514"/>
                          </a:xfrm>
                          <a:custGeom>
                            <a:avLst/>
                            <a:gdLst/>
                            <a:ahLst/>
                            <a:cxnLst/>
                            <a:rect l="0" t="0" r="0" b="0"/>
                            <a:pathLst>
                              <a:path w="1080014" h="339514">
                                <a:moveTo>
                                  <a:pt x="1029403" y="0"/>
                                </a:moveTo>
                                <a:lnTo>
                                  <a:pt x="50611" y="0"/>
                                </a:lnTo>
                                <a:cubicBezTo>
                                  <a:pt x="22659" y="0"/>
                                  <a:pt x="0" y="22659"/>
                                  <a:pt x="0" y="50611"/>
                                </a:cubicBezTo>
                                <a:lnTo>
                                  <a:pt x="0" y="288903"/>
                                </a:lnTo>
                                <a:cubicBezTo>
                                  <a:pt x="0" y="316855"/>
                                  <a:pt x="22659" y="339514"/>
                                  <a:pt x="50611" y="339514"/>
                                </a:cubicBezTo>
                                <a:lnTo>
                                  <a:pt x="1029403" y="339514"/>
                                </a:lnTo>
                                <a:cubicBezTo>
                                  <a:pt x="1057355" y="339514"/>
                                  <a:pt x="1080014" y="316855"/>
                                  <a:pt x="1080014" y="288903"/>
                                </a:cubicBezTo>
                                <a:lnTo>
                                  <a:pt x="1080014" y="50611"/>
                                </a:lnTo>
                                <a:cubicBezTo>
                                  <a:pt x="1080014" y="22659"/>
                                  <a:pt x="1057355" y="0"/>
                                  <a:pt x="1029403" y="0"/>
                                </a:cubicBez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622" name="Rectangle 622"/>
                        <wps:cNvSpPr/>
                        <wps:spPr>
                          <a:xfrm>
                            <a:off x="247424" y="140991"/>
                            <a:ext cx="778338" cy="149430"/>
                          </a:xfrm>
                          <a:prstGeom prst="rect">
                            <a:avLst/>
                          </a:prstGeom>
                          <a:ln>
                            <a:noFill/>
                          </a:ln>
                        </wps:spPr>
                        <wps:txbx>
                          <w:txbxContent>
                            <w:p w:rsidR="00F85032" w:rsidRDefault="00C32646">
                              <w:pPr>
                                <w:spacing w:after="160" w:line="259" w:lineRule="auto"/>
                                <w:ind w:firstLine="0"/>
                                <w:jc w:val="left"/>
                              </w:pPr>
                              <w:r>
                                <w:t>SinPA</w:t>
                              </w:r>
                              <w:r>
                                <w:t>VM</w:t>
                              </w:r>
                            </w:p>
                          </w:txbxContent>
                        </wps:txbx>
                        <wps:bodyPr horzOverflow="overflow" vert="horz" lIns="0" tIns="0" rIns="0" bIns="0" rtlCol="0">
                          <a:noAutofit/>
                        </wps:bodyPr>
                      </wps:wsp>
                      <wps:wsp>
                        <wps:cNvPr id="623" name="Rectangle 623"/>
                        <wps:cNvSpPr/>
                        <wps:spPr>
                          <a:xfrm>
                            <a:off x="321935" y="292820"/>
                            <a:ext cx="580106" cy="149430"/>
                          </a:xfrm>
                          <a:prstGeom prst="rect">
                            <a:avLst/>
                          </a:prstGeom>
                          <a:ln>
                            <a:noFill/>
                          </a:ln>
                        </wps:spPr>
                        <wps:txbx>
                          <w:txbxContent>
                            <w:p w:rsidR="00F85032" w:rsidRDefault="00C32646">
                              <w:pPr>
                                <w:spacing w:after="160" w:line="259" w:lineRule="auto"/>
                                <w:ind w:firstLine="0"/>
                                <w:jc w:val="left"/>
                              </w:pPr>
                              <w:r>
                                <w:t>tratable</w:t>
                              </w:r>
                            </w:p>
                          </w:txbxContent>
                        </wps:txbx>
                        <wps:bodyPr horzOverflow="overflow" vert="horz" lIns="0" tIns="0" rIns="0" bIns="0" rtlCol="0">
                          <a:noAutofit/>
                        </wps:bodyPr>
                      </wps:wsp>
                      <wps:wsp>
                        <wps:cNvPr id="624" name="Shape 624"/>
                        <wps:cNvSpPr/>
                        <wps:spPr>
                          <a:xfrm>
                            <a:off x="1733083" y="0"/>
                            <a:ext cx="1128203" cy="522979"/>
                          </a:xfrm>
                          <a:custGeom>
                            <a:avLst/>
                            <a:gdLst/>
                            <a:ahLst/>
                            <a:cxnLst/>
                            <a:rect l="0" t="0" r="0" b="0"/>
                            <a:pathLst>
                              <a:path w="1128203" h="522979">
                                <a:moveTo>
                                  <a:pt x="1077592" y="0"/>
                                </a:moveTo>
                                <a:lnTo>
                                  <a:pt x="50611" y="0"/>
                                </a:lnTo>
                                <a:cubicBezTo>
                                  <a:pt x="22659" y="0"/>
                                  <a:pt x="0" y="22659"/>
                                  <a:pt x="0" y="50610"/>
                                </a:cubicBezTo>
                                <a:lnTo>
                                  <a:pt x="0" y="472368"/>
                                </a:lnTo>
                                <a:cubicBezTo>
                                  <a:pt x="0" y="500319"/>
                                  <a:pt x="22659" y="522979"/>
                                  <a:pt x="50611" y="522979"/>
                                </a:cubicBezTo>
                                <a:lnTo>
                                  <a:pt x="1077592" y="522979"/>
                                </a:lnTo>
                                <a:cubicBezTo>
                                  <a:pt x="1105544" y="522979"/>
                                  <a:pt x="1128203" y="500319"/>
                                  <a:pt x="1128203" y="472368"/>
                                </a:cubicBezTo>
                                <a:lnTo>
                                  <a:pt x="1128203" y="50610"/>
                                </a:lnTo>
                                <a:cubicBezTo>
                                  <a:pt x="1128203" y="22659"/>
                                  <a:pt x="1105544" y="0"/>
                                  <a:pt x="1077592" y="0"/>
                                </a:cubicBez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626" name="Rectangle 626"/>
                        <wps:cNvSpPr/>
                        <wps:spPr>
                          <a:xfrm>
                            <a:off x="2113524" y="49259"/>
                            <a:ext cx="488562" cy="149431"/>
                          </a:xfrm>
                          <a:prstGeom prst="rect">
                            <a:avLst/>
                          </a:prstGeom>
                          <a:ln>
                            <a:noFill/>
                          </a:ln>
                        </wps:spPr>
                        <wps:txbx>
                          <w:txbxContent>
                            <w:p w:rsidR="00F85032" w:rsidRDefault="00C32646">
                              <w:pPr>
                                <w:spacing w:after="160" w:line="259" w:lineRule="auto"/>
                                <w:ind w:firstLine="0"/>
                                <w:jc w:val="left"/>
                              </w:pPr>
                              <w:r>
                                <w:t>PAVM</w:t>
                              </w:r>
                            </w:p>
                          </w:txbxContent>
                        </wps:txbx>
                        <wps:bodyPr horzOverflow="overflow" vert="horz" lIns="0" tIns="0" rIns="0" bIns="0" rtlCol="0">
                          <a:noAutofit/>
                        </wps:bodyPr>
                      </wps:wsp>
                      <wps:wsp>
                        <wps:cNvPr id="627" name="Rectangle 627"/>
                        <wps:cNvSpPr/>
                        <wps:spPr>
                          <a:xfrm>
                            <a:off x="2079082" y="201087"/>
                            <a:ext cx="580105" cy="149431"/>
                          </a:xfrm>
                          <a:prstGeom prst="rect">
                            <a:avLst/>
                          </a:prstGeom>
                          <a:ln>
                            <a:noFill/>
                          </a:ln>
                        </wps:spPr>
                        <wps:txbx>
                          <w:txbxContent>
                            <w:p w:rsidR="00F85032" w:rsidRDefault="00C32646">
                              <w:pPr>
                                <w:spacing w:after="160" w:line="259" w:lineRule="auto"/>
                                <w:ind w:firstLine="0"/>
                                <w:jc w:val="left"/>
                              </w:pPr>
                              <w:r>
                                <w:t>tratable</w:t>
                              </w:r>
                            </w:p>
                          </w:txbxContent>
                        </wps:txbx>
                        <wps:bodyPr horzOverflow="overflow" vert="horz" lIns="0" tIns="0" rIns="0" bIns="0" rtlCol="0">
                          <a:noAutofit/>
                        </wps:bodyPr>
                      </wps:wsp>
                      <wps:wsp>
                        <wps:cNvPr id="22596" name="Rectangle 22596"/>
                        <wps:cNvSpPr/>
                        <wps:spPr>
                          <a:xfrm>
                            <a:off x="2761415" y="352915"/>
                            <a:ext cx="65443" cy="149431"/>
                          </a:xfrm>
                          <a:prstGeom prst="rect">
                            <a:avLst/>
                          </a:prstGeom>
                          <a:ln>
                            <a:noFill/>
                          </a:ln>
                        </wps:spPr>
                        <wps:txbx>
                          <w:txbxContent>
                            <w:p w:rsidR="00F85032" w:rsidRDefault="00C32646">
                              <w:pPr>
                                <w:spacing w:after="160" w:line="259" w:lineRule="auto"/>
                                <w:ind w:firstLine="0"/>
                                <w:jc w:val="left"/>
                              </w:pPr>
                              <w:r>
                                <w:t>)</w:t>
                              </w:r>
                            </w:p>
                          </w:txbxContent>
                        </wps:txbx>
                        <wps:bodyPr horzOverflow="overflow" vert="horz" lIns="0" tIns="0" rIns="0" bIns="0" rtlCol="0">
                          <a:noAutofit/>
                        </wps:bodyPr>
                      </wps:wsp>
                      <wps:wsp>
                        <wps:cNvPr id="22597" name="Rectangle 22597"/>
                        <wps:cNvSpPr/>
                        <wps:spPr>
                          <a:xfrm>
                            <a:off x="1832885" y="352915"/>
                            <a:ext cx="1234944" cy="149431"/>
                          </a:xfrm>
                          <a:prstGeom prst="rect">
                            <a:avLst/>
                          </a:prstGeom>
                          <a:ln>
                            <a:noFill/>
                          </a:ln>
                        </wps:spPr>
                        <wps:txbx>
                          <w:txbxContent>
                            <w:p w:rsidR="00F85032" w:rsidRDefault="00C32646">
                              <w:pPr>
                                <w:spacing w:after="160" w:line="259" w:lineRule="auto"/>
                                <w:ind w:firstLine="0"/>
                                <w:jc w:val="left"/>
                              </w:pPr>
                              <w:r>
                                <w:t>nodiagnosticada</w:t>
                              </w:r>
                            </w:p>
                          </w:txbxContent>
                        </wps:txbx>
                        <wps:bodyPr horzOverflow="overflow" vert="horz" lIns="0" tIns="0" rIns="0" bIns="0" rtlCol="0">
                          <a:noAutofit/>
                        </wps:bodyPr>
                      </wps:wsp>
                      <wps:wsp>
                        <wps:cNvPr id="22595" name="Rectangle 22595"/>
                        <wps:cNvSpPr/>
                        <wps:spPr>
                          <a:xfrm>
                            <a:off x="1783680" y="352915"/>
                            <a:ext cx="65443" cy="149431"/>
                          </a:xfrm>
                          <a:prstGeom prst="rect">
                            <a:avLst/>
                          </a:prstGeom>
                          <a:ln>
                            <a:noFill/>
                          </a:ln>
                        </wps:spPr>
                        <wps:txbx>
                          <w:txbxContent>
                            <w:p w:rsidR="00F85032" w:rsidRDefault="00C32646">
                              <w:pPr>
                                <w:spacing w:after="160" w:line="259" w:lineRule="auto"/>
                                <w:ind w:firstLine="0"/>
                                <w:jc w:val="left"/>
                              </w:pPr>
                              <w:r>
                                <w:t>(</w:t>
                              </w:r>
                            </w:p>
                          </w:txbxContent>
                        </wps:txbx>
                        <wps:bodyPr horzOverflow="overflow" vert="horz" lIns="0" tIns="0" rIns="0" bIns="0" rtlCol="0">
                          <a:noAutofit/>
                        </wps:bodyPr>
                      </wps:wsp>
                      <wps:wsp>
                        <wps:cNvPr id="629" name="Shape 629"/>
                        <wps:cNvSpPr/>
                        <wps:spPr>
                          <a:xfrm>
                            <a:off x="3514355" y="91732"/>
                            <a:ext cx="1080013" cy="339514"/>
                          </a:xfrm>
                          <a:custGeom>
                            <a:avLst/>
                            <a:gdLst/>
                            <a:ahLst/>
                            <a:cxnLst/>
                            <a:rect l="0" t="0" r="0" b="0"/>
                            <a:pathLst>
                              <a:path w="1080013" h="339514">
                                <a:moveTo>
                                  <a:pt x="1029403" y="0"/>
                                </a:moveTo>
                                <a:lnTo>
                                  <a:pt x="50611" y="0"/>
                                </a:lnTo>
                                <a:cubicBezTo>
                                  <a:pt x="22659" y="0"/>
                                  <a:pt x="0" y="22659"/>
                                  <a:pt x="0" y="50611"/>
                                </a:cubicBezTo>
                                <a:lnTo>
                                  <a:pt x="0" y="288903"/>
                                </a:lnTo>
                                <a:cubicBezTo>
                                  <a:pt x="0" y="316855"/>
                                  <a:pt x="22659" y="339514"/>
                                  <a:pt x="50611" y="339514"/>
                                </a:cubicBezTo>
                                <a:lnTo>
                                  <a:pt x="1029403" y="339514"/>
                                </a:lnTo>
                                <a:cubicBezTo>
                                  <a:pt x="1057355" y="339514"/>
                                  <a:pt x="1080013" y="316855"/>
                                  <a:pt x="1080013" y="288903"/>
                                </a:cubicBezTo>
                                <a:lnTo>
                                  <a:pt x="1080013" y="50611"/>
                                </a:lnTo>
                                <a:cubicBezTo>
                                  <a:pt x="1080013" y="22659"/>
                                  <a:pt x="1057355" y="0"/>
                                  <a:pt x="1029403" y="0"/>
                                </a:cubicBez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631" name="Rectangle 631"/>
                        <wps:cNvSpPr/>
                        <wps:spPr>
                          <a:xfrm>
                            <a:off x="3870684" y="140991"/>
                            <a:ext cx="488562" cy="149430"/>
                          </a:xfrm>
                          <a:prstGeom prst="rect">
                            <a:avLst/>
                          </a:prstGeom>
                          <a:ln>
                            <a:noFill/>
                          </a:ln>
                        </wps:spPr>
                        <wps:txbx>
                          <w:txbxContent>
                            <w:p w:rsidR="00F85032" w:rsidRDefault="00C32646">
                              <w:pPr>
                                <w:spacing w:after="160" w:line="259" w:lineRule="auto"/>
                                <w:ind w:firstLine="0"/>
                                <w:jc w:val="left"/>
                              </w:pPr>
                              <w:r>
                                <w:t>PAVM</w:t>
                              </w:r>
                            </w:p>
                          </w:txbxContent>
                        </wps:txbx>
                        <wps:bodyPr horzOverflow="overflow" vert="horz" lIns="0" tIns="0" rIns="0" bIns="0" rtlCol="0">
                          <a:noAutofit/>
                        </wps:bodyPr>
                      </wps:wsp>
                      <wps:wsp>
                        <wps:cNvPr id="632" name="Rectangle 632"/>
                        <wps:cNvSpPr/>
                        <wps:spPr>
                          <a:xfrm>
                            <a:off x="3850300" y="292820"/>
                            <a:ext cx="542714" cy="149430"/>
                          </a:xfrm>
                          <a:prstGeom prst="rect">
                            <a:avLst/>
                          </a:prstGeom>
                          <a:ln>
                            <a:noFill/>
                          </a:ln>
                        </wps:spPr>
                        <wps:txbx>
                          <w:txbxContent>
                            <w:p w:rsidR="00F85032" w:rsidRDefault="00C32646">
                              <w:pPr>
                                <w:spacing w:after="160" w:line="259" w:lineRule="auto"/>
                                <w:ind w:firstLine="0"/>
                                <w:jc w:val="left"/>
                              </w:pPr>
                              <w:r>
                                <w:t>tratada</w:t>
                              </w:r>
                            </w:p>
                          </w:txbxContent>
                        </wps:txbx>
                        <wps:bodyPr horzOverflow="overflow" vert="horz" lIns="0" tIns="0" rIns="0" bIns="0" rtlCol="0">
                          <a:noAutofit/>
                        </wps:bodyPr>
                      </wps:wsp>
                      <wps:wsp>
                        <wps:cNvPr id="633" name="Shape 633"/>
                        <wps:cNvSpPr/>
                        <wps:spPr>
                          <a:xfrm>
                            <a:off x="1757177" y="1176048"/>
                            <a:ext cx="1080014" cy="364116"/>
                          </a:xfrm>
                          <a:custGeom>
                            <a:avLst/>
                            <a:gdLst/>
                            <a:ahLst/>
                            <a:cxnLst/>
                            <a:rect l="0" t="0" r="0" b="0"/>
                            <a:pathLst>
                              <a:path w="1080014" h="364116">
                                <a:moveTo>
                                  <a:pt x="1029403" y="0"/>
                                </a:moveTo>
                                <a:lnTo>
                                  <a:pt x="50611" y="0"/>
                                </a:lnTo>
                                <a:cubicBezTo>
                                  <a:pt x="22659" y="0"/>
                                  <a:pt x="0" y="22658"/>
                                  <a:pt x="0" y="50611"/>
                                </a:cubicBezTo>
                                <a:lnTo>
                                  <a:pt x="0" y="313505"/>
                                </a:lnTo>
                                <a:cubicBezTo>
                                  <a:pt x="0" y="341457"/>
                                  <a:pt x="22659" y="364116"/>
                                  <a:pt x="50611" y="364116"/>
                                </a:cubicBezTo>
                                <a:lnTo>
                                  <a:pt x="1029403" y="364116"/>
                                </a:lnTo>
                                <a:cubicBezTo>
                                  <a:pt x="1057355" y="364116"/>
                                  <a:pt x="1080014" y="341457"/>
                                  <a:pt x="1080014" y="313505"/>
                                </a:cubicBezTo>
                                <a:lnTo>
                                  <a:pt x="1080014" y="50611"/>
                                </a:lnTo>
                                <a:cubicBezTo>
                                  <a:pt x="1080014" y="22658"/>
                                  <a:pt x="1057355" y="0"/>
                                  <a:pt x="1029403" y="0"/>
                                </a:cubicBez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635" name="Rectangle 635"/>
                        <wps:cNvSpPr/>
                        <wps:spPr>
                          <a:xfrm>
                            <a:off x="1997192" y="1225292"/>
                            <a:ext cx="797976" cy="149431"/>
                          </a:xfrm>
                          <a:prstGeom prst="rect">
                            <a:avLst/>
                          </a:prstGeom>
                          <a:ln>
                            <a:noFill/>
                          </a:ln>
                        </wps:spPr>
                        <wps:txbx>
                          <w:txbxContent>
                            <w:p w:rsidR="00F85032" w:rsidRDefault="00C32646">
                              <w:pPr>
                                <w:spacing w:after="160" w:line="259" w:lineRule="auto"/>
                                <w:ind w:firstLine="0"/>
                                <w:jc w:val="left"/>
                              </w:pPr>
                              <w:r>
                                <w:t>Postevento</w:t>
                              </w:r>
                            </w:p>
                          </w:txbxContent>
                        </wps:txbx>
                        <wps:bodyPr horzOverflow="overflow" vert="horz" lIns="0" tIns="0" rIns="0" bIns="0" rtlCol="0">
                          <a:noAutofit/>
                        </wps:bodyPr>
                      </wps:wsp>
                      <wps:wsp>
                        <wps:cNvPr id="636" name="Rectangle 636"/>
                        <wps:cNvSpPr/>
                        <wps:spPr>
                          <a:xfrm>
                            <a:off x="1984187" y="1377120"/>
                            <a:ext cx="832523" cy="149430"/>
                          </a:xfrm>
                          <a:prstGeom prst="rect">
                            <a:avLst/>
                          </a:prstGeom>
                          <a:ln>
                            <a:noFill/>
                          </a:ln>
                        </wps:spPr>
                        <wps:txbx>
                          <w:txbxContent>
                            <w:p w:rsidR="00F85032" w:rsidRDefault="00C32646">
                              <w:pPr>
                                <w:spacing w:after="160" w:line="259" w:lineRule="auto"/>
                                <w:ind w:firstLine="0"/>
                                <w:jc w:val="left"/>
                              </w:pPr>
                              <w:r>
                                <w:t>neurol´ogico</w:t>
                              </w:r>
                            </w:p>
                          </w:txbxContent>
                        </wps:txbx>
                        <wps:bodyPr horzOverflow="overflow" vert="horz" lIns="0" tIns="0" rIns="0" bIns="0" rtlCol="0">
                          <a:noAutofit/>
                        </wps:bodyPr>
                      </wps:wsp>
                      <wps:wsp>
                        <wps:cNvPr id="637" name="Shape 637"/>
                        <wps:cNvSpPr/>
                        <wps:spPr>
                          <a:xfrm>
                            <a:off x="3514355" y="1084316"/>
                            <a:ext cx="1080013" cy="187682"/>
                          </a:xfrm>
                          <a:custGeom>
                            <a:avLst/>
                            <a:gdLst/>
                            <a:ahLst/>
                            <a:cxnLst/>
                            <a:rect l="0" t="0" r="0" b="0"/>
                            <a:pathLst>
                              <a:path w="1080013" h="187682">
                                <a:moveTo>
                                  <a:pt x="1029403" y="0"/>
                                </a:moveTo>
                                <a:lnTo>
                                  <a:pt x="50611" y="0"/>
                                </a:lnTo>
                                <a:cubicBezTo>
                                  <a:pt x="22659" y="0"/>
                                  <a:pt x="0" y="22659"/>
                                  <a:pt x="0" y="50611"/>
                                </a:cubicBezTo>
                                <a:lnTo>
                                  <a:pt x="0" y="137071"/>
                                </a:lnTo>
                                <a:cubicBezTo>
                                  <a:pt x="0" y="165022"/>
                                  <a:pt x="22659" y="187682"/>
                                  <a:pt x="50611" y="187682"/>
                                </a:cubicBezTo>
                                <a:lnTo>
                                  <a:pt x="1029403" y="187682"/>
                                </a:lnTo>
                                <a:cubicBezTo>
                                  <a:pt x="1057355" y="187682"/>
                                  <a:pt x="1080013" y="165022"/>
                                  <a:pt x="1080013" y="137071"/>
                                </a:cubicBezTo>
                                <a:lnTo>
                                  <a:pt x="1080013" y="50611"/>
                                </a:lnTo>
                                <a:cubicBezTo>
                                  <a:pt x="1080013" y="22659"/>
                                  <a:pt x="1057355" y="0"/>
                                  <a:pt x="1029403" y="0"/>
                                </a:cubicBez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639" name="Rectangle 639"/>
                        <wps:cNvSpPr/>
                        <wps:spPr>
                          <a:xfrm>
                            <a:off x="3855570" y="1133559"/>
                            <a:ext cx="528680" cy="149431"/>
                          </a:xfrm>
                          <a:prstGeom prst="rect">
                            <a:avLst/>
                          </a:prstGeom>
                          <a:ln>
                            <a:noFill/>
                          </a:ln>
                        </wps:spPr>
                        <wps:txbx>
                          <w:txbxContent>
                            <w:p w:rsidR="00F85032" w:rsidRDefault="00C32646">
                              <w:pPr>
                                <w:spacing w:after="160" w:line="259" w:lineRule="auto"/>
                                <w:ind w:firstLine="0"/>
                                <w:jc w:val="left"/>
                              </w:pPr>
                              <w:r>
                                <w:t>Muerte</w:t>
                              </w:r>
                            </w:p>
                          </w:txbxContent>
                        </wps:txbx>
                        <wps:bodyPr horzOverflow="overflow" vert="horz" lIns="0" tIns="0" rIns="0" bIns="0" rtlCol="0">
                          <a:noAutofit/>
                        </wps:bodyPr>
                      </wps:wsp>
                      <wps:wsp>
                        <wps:cNvPr id="640" name="Shape 640"/>
                        <wps:cNvSpPr/>
                        <wps:spPr>
                          <a:xfrm>
                            <a:off x="1082544" y="261489"/>
                            <a:ext cx="569561" cy="0"/>
                          </a:xfrm>
                          <a:custGeom>
                            <a:avLst/>
                            <a:gdLst/>
                            <a:ahLst/>
                            <a:cxnLst/>
                            <a:rect l="0" t="0" r="0" b="0"/>
                            <a:pathLst>
                              <a:path w="569561">
                                <a:moveTo>
                                  <a:pt x="0" y="0"/>
                                </a:moveTo>
                                <a:lnTo>
                                  <a:pt x="569561" y="0"/>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641" name="Shape 641"/>
                        <wps:cNvSpPr/>
                        <wps:spPr>
                          <a:xfrm>
                            <a:off x="1652105" y="238985"/>
                            <a:ext cx="57579" cy="45008"/>
                          </a:xfrm>
                          <a:custGeom>
                            <a:avLst/>
                            <a:gdLst/>
                            <a:ahLst/>
                            <a:cxnLst/>
                            <a:rect l="0" t="0" r="0" b="0"/>
                            <a:pathLst>
                              <a:path w="57579" h="45008">
                                <a:moveTo>
                                  <a:pt x="0" y="0"/>
                                </a:moveTo>
                                <a:cubicBezTo>
                                  <a:pt x="19426" y="10814"/>
                                  <a:pt x="50508" y="20751"/>
                                  <a:pt x="57579" y="22504"/>
                                </a:cubicBezTo>
                                <a:cubicBezTo>
                                  <a:pt x="50508" y="24257"/>
                                  <a:pt x="19426" y="34194"/>
                                  <a:pt x="0" y="45008"/>
                                </a:cubicBezTo>
                                <a:lnTo>
                                  <a:pt x="0" y="0"/>
                                </a:lnTo>
                                <a:close/>
                              </a:path>
                            </a:pathLst>
                          </a:custGeom>
                          <a:ln w="10122" cap="flat">
                            <a:miter lim="127000"/>
                          </a:ln>
                        </wps:spPr>
                        <wps:style>
                          <a:lnRef idx="1">
                            <a:srgbClr val="000000"/>
                          </a:lnRef>
                          <a:fillRef idx="1">
                            <a:srgbClr val="000000"/>
                          </a:fillRef>
                          <a:effectRef idx="0">
                            <a:scrgbClr r="0" g="0" b="0"/>
                          </a:effectRef>
                          <a:fontRef idx="none"/>
                        </wps:style>
                        <wps:bodyPr/>
                      </wps:wsp>
                      <wps:wsp>
                        <wps:cNvPr id="642" name="Rectangle 642"/>
                        <wps:cNvSpPr/>
                        <wps:spPr>
                          <a:xfrm>
                            <a:off x="1115406" y="135229"/>
                            <a:ext cx="774387" cy="134489"/>
                          </a:xfrm>
                          <a:prstGeom prst="rect">
                            <a:avLst/>
                          </a:prstGeom>
                          <a:ln>
                            <a:noFill/>
                          </a:ln>
                        </wps:spPr>
                        <wps:txbx>
                          <w:txbxContent>
                            <w:p w:rsidR="00F85032" w:rsidRDefault="00C32646">
                              <w:pPr>
                                <w:spacing w:after="160" w:line="259" w:lineRule="auto"/>
                                <w:ind w:firstLine="0"/>
                                <w:jc w:val="left"/>
                              </w:pPr>
                              <w:r>
                                <w:rPr>
                                  <w:sz w:val="18"/>
                                </w:rPr>
                                <w:t>crecimiento</w:t>
                              </w:r>
                            </w:p>
                          </w:txbxContent>
                        </wps:txbx>
                        <wps:bodyPr horzOverflow="overflow" vert="horz" lIns="0" tIns="0" rIns="0" bIns="0" rtlCol="0">
                          <a:noAutofit/>
                        </wps:bodyPr>
                      </wps:wsp>
                      <wps:wsp>
                        <wps:cNvPr id="643" name="Shape 643"/>
                        <wps:cNvSpPr/>
                        <wps:spPr>
                          <a:xfrm>
                            <a:off x="2863816" y="261489"/>
                            <a:ext cx="569561" cy="0"/>
                          </a:xfrm>
                          <a:custGeom>
                            <a:avLst/>
                            <a:gdLst/>
                            <a:ahLst/>
                            <a:cxnLst/>
                            <a:rect l="0" t="0" r="0" b="0"/>
                            <a:pathLst>
                              <a:path w="569561">
                                <a:moveTo>
                                  <a:pt x="0" y="0"/>
                                </a:moveTo>
                                <a:lnTo>
                                  <a:pt x="569561" y="0"/>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644" name="Shape 644"/>
                        <wps:cNvSpPr/>
                        <wps:spPr>
                          <a:xfrm>
                            <a:off x="3433378" y="238985"/>
                            <a:ext cx="57579" cy="45008"/>
                          </a:xfrm>
                          <a:custGeom>
                            <a:avLst/>
                            <a:gdLst/>
                            <a:ahLst/>
                            <a:cxnLst/>
                            <a:rect l="0" t="0" r="0" b="0"/>
                            <a:pathLst>
                              <a:path w="57579" h="45008">
                                <a:moveTo>
                                  <a:pt x="0" y="0"/>
                                </a:moveTo>
                                <a:cubicBezTo>
                                  <a:pt x="19426" y="10814"/>
                                  <a:pt x="50509" y="20751"/>
                                  <a:pt x="57579" y="22504"/>
                                </a:cubicBezTo>
                                <a:cubicBezTo>
                                  <a:pt x="50509" y="24257"/>
                                  <a:pt x="19426" y="34194"/>
                                  <a:pt x="0" y="45008"/>
                                </a:cubicBezTo>
                                <a:lnTo>
                                  <a:pt x="0" y="0"/>
                                </a:lnTo>
                                <a:close/>
                              </a:path>
                            </a:pathLst>
                          </a:custGeom>
                          <a:ln w="10122" cap="flat">
                            <a:miter lim="127000"/>
                          </a:ln>
                        </wps:spPr>
                        <wps:style>
                          <a:lnRef idx="1">
                            <a:srgbClr val="000000"/>
                          </a:lnRef>
                          <a:fillRef idx="1">
                            <a:srgbClr val="000000"/>
                          </a:fillRef>
                          <a:effectRef idx="0">
                            <a:scrgbClr r="0" g="0" b="0"/>
                          </a:effectRef>
                          <a:fontRef idx="none"/>
                        </wps:style>
                        <wps:bodyPr/>
                      </wps:wsp>
                      <wps:wsp>
                        <wps:cNvPr id="645" name="Rectangle 645"/>
                        <wps:cNvSpPr/>
                        <wps:spPr>
                          <a:xfrm>
                            <a:off x="2579665" y="113080"/>
                            <a:ext cx="1617562" cy="134489"/>
                          </a:xfrm>
                          <a:prstGeom prst="rect">
                            <a:avLst/>
                          </a:prstGeom>
                          <a:ln>
                            <a:noFill/>
                          </a:ln>
                        </wps:spPr>
                        <wps:txbx>
                          <w:txbxContent>
                            <w:p w:rsidR="00F85032" w:rsidRDefault="00C32646">
                              <w:pPr>
                                <w:spacing w:after="160" w:line="259" w:lineRule="auto"/>
                                <w:ind w:firstLine="0"/>
                                <w:jc w:val="left"/>
                              </w:pPr>
                              <w:r>
                                <w:rPr>
                                  <w:sz w:val="18"/>
                                </w:rPr>
                                <w:t>deteccio´nytratamiento</w:t>
                              </w:r>
                            </w:p>
                          </w:txbxContent>
                        </wps:txbx>
                        <wps:bodyPr horzOverflow="overflow" vert="horz" lIns="0" tIns="0" rIns="0" bIns="0" rtlCol="0">
                          <a:noAutofit/>
                        </wps:bodyPr>
                      </wps:wsp>
                      <wps:wsp>
                        <wps:cNvPr id="646" name="Shape 646"/>
                        <wps:cNvSpPr/>
                        <wps:spPr>
                          <a:xfrm>
                            <a:off x="2297184" y="525509"/>
                            <a:ext cx="0" cy="569561"/>
                          </a:xfrm>
                          <a:custGeom>
                            <a:avLst/>
                            <a:gdLst/>
                            <a:ahLst/>
                            <a:cxnLst/>
                            <a:rect l="0" t="0" r="0" b="0"/>
                            <a:pathLst>
                              <a:path h="569561">
                                <a:moveTo>
                                  <a:pt x="0" y="0"/>
                                </a:moveTo>
                                <a:lnTo>
                                  <a:pt x="0" y="569561"/>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647" name="Shape 647"/>
                        <wps:cNvSpPr/>
                        <wps:spPr>
                          <a:xfrm>
                            <a:off x="2274680" y="1095070"/>
                            <a:ext cx="45008" cy="57579"/>
                          </a:xfrm>
                          <a:custGeom>
                            <a:avLst/>
                            <a:gdLst/>
                            <a:ahLst/>
                            <a:cxnLst/>
                            <a:rect l="0" t="0" r="0" b="0"/>
                            <a:pathLst>
                              <a:path w="45008" h="57579">
                                <a:moveTo>
                                  <a:pt x="0" y="0"/>
                                </a:moveTo>
                                <a:lnTo>
                                  <a:pt x="45008" y="0"/>
                                </a:lnTo>
                                <a:cubicBezTo>
                                  <a:pt x="34194" y="19426"/>
                                  <a:pt x="24258" y="50509"/>
                                  <a:pt x="22504" y="57579"/>
                                </a:cubicBezTo>
                                <a:cubicBezTo>
                                  <a:pt x="20750" y="50509"/>
                                  <a:pt x="10814" y="19426"/>
                                  <a:pt x="0" y="0"/>
                                </a:cubicBezTo>
                                <a:close/>
                              </a:path>
                            </a:pathLst>
                          </a:custGeom>
                          <a:ln w="0" cap="flat">
                            <a:miter lim="127000"/>
                          </a:ln>
                        </wps:spPr>
                        <wps:style>
                          <a:lnRef idx="1">
                            <a:srgbClr val="000000"/>
                          </a:lnRef>
                          <a:fillRef idx="1">
                            <a:srgbClr val="000000"/>
                          </a:fillRef>
                          <a:effectRef idx="0">
                            <a:scrgbClr r="0" g="0" b="0"/>
                          </a:effectRef>
                          <a:fontRef idx="none"/>
                        </wps:style>
                        <wps:bodyPr/>
                      </wps:wsp>
                      <wps:wsp>
                        <wps:cNvPr id="648" name="Rectangle 648"/>
                        <wps:cNvSpPr/>
                        <wps:spPr>
                          <a:xfrm>
                            <a:off x="1921500" y="805497"/>
                            <a:ext cx="436847" cy="134489"/>
                          </a:xfrm>
                          <a:prstGeom prst="rect">
                            <a:avLst/>
                          </a:prstGeom>
                          <a:ln>
                            <a:noFill/>
                          </a:ln>
                        </wps:spPr>
                        <wps:txbx>
                          <w:txbxContent>
                            <w:p w:rsidR="00F85032" w:rsidRDefault="00C32646">
                              <w:pPr>
                                <w:spacing w:after="160" w:line="259" w:lineRule="auto"/>
                                <w:ind w:firstLine="0"/>
                                <w:jc w:val="left"/>
                              </w:pPr>
                              <w:r>
                                <w:rPr>
                                  <w:sz w:val="18"/>
                                </w:rPr>
                                <w:t>evento</w:t>
                              </w:r>
                            </w:p>
                          </w:txbxContent>
                        </wps:txbx>
                        <wps:bodyPr horzOverflow="overflow" vert="horz" lIns="0" tIns="0" rIns="0" bIns="0" rtlCol="0">
                          <a:noAutofit/>
                        </wps:bodyPr>
                      </wps:wsp>
                      <wps:wsp>
                        <wps:cNvPr id="649" name="Shape 649"/>
                        <wps:cNvSpPr/>
                        <wps:spPr>
                          <a:xfrm>
                            <a:off x="1082544" y="402636"/>
                            <a:ext cx="2526687" cy="659343"/>
                          </a:xfrm>
                          <a:custGeom>
                            <a:avLst/>
                            <a:gdLst/>
                            <a:ahLst/>
                            <a:cxnLst/>
                            <a:rect l="0" t="0" r="0" b="0"/>
                            <a:pathLst>
                              <a:path w="2526687" h="659343">
                                <a:moveTo>
                                  <a:pt x="0" y="0"/>
                                </a:moveTo>
                                <a:lnTo>
                                  <a:pt x="2526687" y="659343"/>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650" name="Shape 650"/>
                        <wps:cNvSpPr/>
                        <wps:spPr>
                          <a:xfrm>
                            <a:off x="3603550" y="1040206"/>
                            <a:ext cx="61392" cy="43546"/>
                          </a:xfrm>
                          <a:custGeom>
                            <a:avLst/>
                            <a:gdLst/>
                            <a:ahLst/>
                            <a:cxnLst/>
                            <a:rect l="0" t="0" r="0" b="0"/>
                            <a:pathLst>
                              <a:path w="61392" h="43546">
                                <a:moveTo>
                                  <a:pt x="11363" y="0"/>
                                </a:moveTo>
                                <a:cubicBezTo>
                                  <a:pt x="27429" y="15367"/>
                                  <a:pt x="54993" y="32828"/>
                                  <a:pt x="61392" y="36310"/>
                                </a:cubicBezTo>
                                <a:cubicBezTo>
                                  <a:pt x="54108" y="36222"/>
                                  <a:pt x="21526" y="37988"/>
                                  <a:pt x="0" y="43546"/>
                                </a:cubicBezTo>
                                <a:lnTo>
                                  <a:pt x="11363" y="0"/>
                                </a:lnTo>
                                <a:close/>
                              </a:path>
                            </a:pathLst>
                          </a:custGeom>
                          <a:ln w="9793" cap="flat">
                            <a:miter lim="127000"/>
                          </a:ln>
                        </wps:spPr>
                        <wps:style>
                          <a:lnRef idx="1">
                            <a:srgbClr val="000000"/>
                          </a:lnRef>
                          <a:fillRef idx="1">
                            <a:srgbClr val="000000"/>
                          </a:fillRef>
                          <a:effectRef idx="0">
                            <a:scrgbClr r="0" g="0" b="0"/>
                          </a:effectRef>
                          <a:fontRef idx="none"/>
                        </wps:style>
                        <wps:bodyPr/>
                      </wps:wsp>
                      <wps:wsp>
                        <wps:cNvPr id="651" name="Rectangle 651"/>
                        <wps:cNvSpPr/>
                        <wps:spPr>
                          <a:xfrm>
                            <a:off x="1299213" y="702716"/>
                            <a:ext cx="1379708" cy="134489"/>
                          </a:xfrm>
                          <a:prstGeom prst="rect">
                            <a:avLst/>
                          </a:prstGeom>
                          <a:ln>
                            <a:noFill/>
                          </a:ln>
                        </wps:spPr>
                        <wps:txbx>
                          <w:txbxContent>
                            <w:p w:rsidR="00F85032" w:rsidRDefault="00C32646">
                              <w:pPr>
                                <w:spacing w:after="160" w:line="259" w:lineRule="auto"/>
                                <w:ind w:firstLine="0"/>
                                <w:jc w:val="left"/>
                              </w:pPr>
                              <w:r>
                                <w:rPr>
                                  <w:sz w:val="18"/>
                                </w:rPr>
                                <w:t>mortalidaddefondo</w:t>
                              </w:r>
                            </w:p>
                          </w:txbxContent>
                        </wps:txbx>
                        <wps:bodyPr horzOverflow="overflow" vert="horz" lIns="0" tIns="0" rIns="0" bIns="0" rtlCol="0">
                          <a:noAutofit/>
                        </wps:bodyPr>
                      </wps:wsp>
                      <wps:wsp>
                        <wps:cNvPr id="652" name="Shape 652"/>
                        <wps:cNvSpPr/>
                        <wps:spPr>
                          <a:xfrm>
                            <a:off x="2802893" y="525509"/>
                            <a:ext cx="997299" cy="520009"/>
                          </a:xfrm>
                          <a:custGeom>
                            <a:avLst/>
                            <a:gdLst/>
                            <a:ahLst/>
                            <a:cxnLst/>
                            <a:rect l="0" t="0" r="0" b="0"/>
                            <a:pathLst>
                              <a:path w="997299" h="520009">
                                <a:moveTo>
                                  <a:pt x="0" y="0"/>
                                </a:moveTo>
                                <a:lnTo>
                                  <a:pt x="997299" y="520009"/>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653" name="Shape 653"/>
                        <wps:cNvSpPr/>
                        <wps:spPr>
                          <a:xfrm>
                            <a:off x="3789789" y="1025565"/>
                            <a:ext cx="61456" cy="46572"/>
                          </a:xfrm>
                          <a:custGeom>
                            <a:avLst/>
                            <a:gdLst/>
                            <a:ahLst/>
                            <a:cxnLst/>
                            <a:rect l="0" t="0" r="0" b="0"/>
                            <a:pathLst>
                              <a:path w="61456" h="46572">
                                <a:moveTo>
                                  <a:pt x="20807" y="0"/>
                                </a:moveTo>
                                <a:cubicBezTo>
                                  <a:pt x="33032" y="18569"/>
                                  <a:pt x="55997" y="41749"/>
                                  <a:pt x="61456" y="46572"/>
                                </a:cubicBezTo>
                                <a:cubicBezTo>
                                  <a:pt x="54376" y="44859"/>
                                  <a:pt x="22223" y="39299"/>
                                  <a:pt x="0" y="39906"/>
                                </a:cubicBezTo>
                                <a:lnTo>
                                  <a:pt x="20807" y="0"/>
                                </a:lnTo>
                                <a:close/>
                              </a:path>
                            </a:pathLst>
                          </a:custGeom>
                          <a:ln w="8975" cap="flat">
                            <a:miter lim="127000"/>
                          </a:ln>
                        </wps:spPr>
                        <wps:style>
                          <a:lnRef idx="1">
                            <a:srgbClr val="000000"/>
                          </a:lnRef>
                          <a:fillRef idx="1">
                            <a:srgbClr val="000000"/>
                          </a:fillRef>
                          <a:effectRef idx="0">
                            <a:scrgbClr r="0" g="0" b="0"/>
                          </a:effectRef>
                          <a:fontRef idx="none"/>
                        </wps:style>
                        <wps:bodyPr/>
                      </wps:wsp>
                      <wps:wsp>
                        <wps:cNvPr id="654" name="Rectangle 654"/>
                        <wps:cNvSpPr/>
                        <wps:spPr>
                          <a:xfrm>
                            <a:off x="3383524" y="764146"/>
                            <a:ext cx="1379708" cy="134489"/>
                          </a:xfrm>
                          <a:prstGeom prst="rect">
                            <a:avLst/>
                          </a:prstGeom>
                          <a:ln>
                            <a:noFill/>
                          </a:ln>
                        </wps:spPr>
                        <wps:txbx>
                          <w:txbxContent>
                            <w:p w:rsidR="00F85032" w:rsidRDefault="00C32646">
                              <w:pPr>
                                <w:spacing w:after="160" w:line="259" w:lineRule="auto"/>
                                <w:ind w:firstLine="0"/>
                                <w:jc w:val="left"/>
                              </w:pPr>
                              <w:r>
                                <w:rPr>
                                  <w:sz w:val="18"/>
                                </w:rPr>
                                <w:t>mortalidaddefondo</w:t>
                              </w:r>
                            </w:p>
                          </w:txbxContent>
                        </wps:txbx>
                        <wps:bodyPr horzOverflow="overflow" vert="horz" lIns="0" tIns="0" rIns="0" bIns="0" rtlCol="0">
                          <a:noAutofit/>
                        </wps:bodyPr>
                      </wps:wsp>
                      <wps:wsp>
                        <wps:cNvPr id="655" name="Shape 655"/>
                        <wps:cNvSpPr/>
                        <wps:spPr>
                          <a:xfrm>
                            <a:off x="4054362" y="433777"/>
                            <a:ext cx="0" cy="569561"/>
                          </a:xfrm>
                          <a:custGeom>
                            <a:avLst/>
                            <a:gdLst/>
                            <a:ahLst/>
                            <a:cxnLst/>
                            <a:rect l="0" t="0" r="0" b="0"/>
                            <a:pathLst>
                              <a:path h="569561">
                                <a:moveTo>
                                  <a:pt x="0" y="0"/>
                                </a:moveTo>
                                <a:lnTo>
                                  <a:pt x="0" y="569561"/>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656" name="Shape 656"/>
                        <wps:cNvSpPr/>
                        <wps:spPr>
                          <a:xfrm>
                            <a:off x="4031858" y="1003338"/>
                            <a:ext cx="45008" cy="57579"/>
                          </a:xfrm>
                          <a:custGeom>
                            <a:avLst/>
                            <a:gdLst/>
                            <a:ahLst/>
                            <a:cxnLst/>
                            <a:rect l="0" t="0" r="0" b="0"/>
                            <a:pathLst>
                              <a:path w="45008" h="57579">
                                <a:moveTo>
                                  <a:pt x="0" y="0"/>
                                </a:moveTo>
                                <a:lnTo>
                                  <a:pt x="45008" y="0"/>
                                </a:lnTo>
                                <a:cubicBezTo>
                                  <a:pt x="34194" y="19426"/>
                                  <a:pt x="24258" y="50509"/>
                                  <a:pt x="22504" y="57579"/>
                                </a:cubicBezTo>
                                <a:cubicBezTo>
                                  <a:pt x="20750" y="50509"/>
                                  <a:pt x="10814" y="19426"/>
                                  <a:pt x="0" y="0"/>
                                </a:cubicBezTo>
                                <a:close/>
                              </a:path>
                            </a:pathLst>
                          </a:custGeom>
                          <a:ln w="0" cap="flat">
                            <a:miter lim="127000"/>
                          </a:ln>
                        </wps:spPr>
                        <wps:style>
                          <a:lnRef idx="1">
                            <a:srgbClr val="000000"/>
                          </a:lnRef>
                          <a:fillRef idx="1">
                            <a:srgbClr val="000000"/>
                          </a:fillRef>
                          <a:effectRef idx="0">
                            <a:scrgbClr r="0" g="0" b="0"/>
                          </a:effectRef>
                          <a:fontRef idx="none"/>
                        </wps:style>
                        <wps:bodyPr/>
                      </wps:wsp>
                      <wps:wsp>
                        <wps:cNvPr id="657" name="Rectangle 657"/>
                        <wps:cNvSpPr/>
                        <wps:spPr>
                          <a:xfrm>
                            <a:off x="4101557" y="718287"/>
                            <a:ext cx="1379708" cy="134489"/>
                          </a:xfrm>
                          <a:prstGeom prst="rect">
                            <a:avLst/>
                          </a:prstGeom>
                          <a:ln>
                            <a:noFill/>
                          </a:ln>
                        </wps:spPr>
                        <wps:txbx>
                          <w:txbxContent>
                            <w:p w:rsidR="00F85032" w:rsidRDefault="00C32646">
                              <w:pPr>
                                <w:spacing w:after="160" w:line="259" w:lineRule="auto"/>
                                <w:ind w:firstLine="0"/>
                                <w:jc w:val="left"/>
                              </w:pPr>
                              <w:r>
                                <w:rPr>
                                  <w:sz w:val="18"/>
                                </w:rPr>
                                <w:t>mortalidaddefondo</w:t>
                              </w:r>
                            </w:p>
                          </w:txbxContent>
                        </wps:txbx>
                        <wps:bodyPr horzOverflow="overflow" vert="horz" lIns="0" tIns="0" rIns="0" bIns="0" rtlCol="0">
                          <a:noAutofit/>
                        </wps:bodyPr>
                      </wps:wsp>
                      <wps:wsp>
                        <wps:cNvPr id="658" name="Shape 658"/>
                        <wps:cNvSpPr/>
                        <wps:spPr>
                          <a:xfrm>
                            <a:off x="2839722" y="1241608"/>
                            <a:ext cx="594068" cy="60949"/>
                          </a:xfrm>
                          <a:custGeom>
                            <a:avLst/>
                            <a:gdLst/>
                            <a:ahLst/>
                            <a:cxnLst/>
                            <a:rect l="0" t="0" r="0" b="0"/>
                            <a:pathLst>
                              <a:path w="594068" h="60949">
                                <a:moveTo>
                                  <a:pt x="0" y="60949"/>
                                </a:moveTo>
                                <a:lnTo>
                                  <a:pt x="594068" y="0"/>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659" name="Shape 659"/>
                        <wps:cNvSpPr/>
                        <wps:spPr>
                          <a:xfrm>
                            <a:off x="3431494" y="1219223"/>
                            <a:ext cx="59573" cy="44771"/>
                          </a:xfrm>
                          <a:custGeom>
                            <a:avLst/>
                            <a:gdLst/>
                            <a:ahLst/>
                            <a:cxnLst/>
                            <a:rect l="0" t="0" r="0" b="0"/>
                            <a:pathLst>
                              <a:path w="59573" h="44771">
                                <a:moveTo>
                                  <a:pt x="0" y="0"/>
                                </a:moveTo>
                                <a:cubicBezTo>
                                  <a:pt x="20428" y="8775"/>
                                  <a:pt x="52360" y="15488"/>
                                  <a:pt x="59573" y="16511"/>
                                </a:cubicBezTo>
                                <a:cubicBezTo>
                                  <a:pt x="52718" y="18977"/>
                                  <a:pt x="22813" y="32032"/>
                                  <a:pt x="4592" y="44771"/>
                                </a:cubicBezTo>
                                <a:lnTo>
                                  <a:pt x="0" y="0"/>
                                </a:lnTo>
                                <a:close/>
                              </a:path>
                            </a:pathLst>
                          </a:custGeom>
                          <a:ln w="10069" cap="flat">
                            <a:miter lim="127000"/>
                          </a:ln>
                        </wps:spPr>
                        <wps:style>
                          <a:lnRef idx="1">
                            <a:srgbClr val="000000"/>
                          </a:lnRef>
                          <a:fillRef idx="1">
                            <a:srgbClr val="000000"/>
                          </a:fillRef>
                          <a:effectRef idx="0">
                            <a:scrgbClr r="0" g="0" b="0"/>
                          </a:effectRef>
                          <a:fontRef idx="none"/>
                        </wps:style>
                        <wps:bodyPr/>
                      </wps:wsp>
                      <wps:wsp>
                        <wps:cNvPr id="660" name="Rectangle 660"/>
                        <wps:cNvSpPr/>
                        <wps:spPr>
                          <a:xfrm>
                            <a:off x="3222971" y="1228573"/>
                            <a:ext cx="744066" cy="134489"/>
                          </a:xfrm>
                          <a:prstGeom prst="rect">
                            <a:avLst/>
                          </a:prstGeom>
                          <a:ln>
                            <a:noFill/>
                          </a:ln>
                        </wps:spPr>
                        <wps:txbx>
                          <w:txbxContent>
                            <w:p w:rsidR="00F85032" w:rsidRDefault="00C32646">
                              <w:pPr>
                                <w:spacing w:after="160" w:line="259" w:lineRule="auto"/>
                                <w:ind w:firstLine="0"/>
                                <w:jc w:val="left"/>
                              </w:pPr>
                              <w:r>
                                <w:rPr>
                                  <w:sz w:val="18"/>
                                </w:rPr>
                                <w:t>mortalidad</w:t>
                              </w:r>
                            </w:p>
                          </w:txbxContent>
                        </wps:txbx>
                        <wps:bodyPr horzOverflow="overflow" vert="horz" lIns="0" tIns="0" rIns="0" bIns="0" rtlCol="0">
                          <a:noAutofit/>
                        </wps:bodyPr>
                      </wps:wsp>
                    </wpg:wgp>
                  </a:graphicData>
                </a:graphic>
              </wp:inline>
            </w:drawing>
          </mc:Choice>
          <mc:Fallback xmlns:a="http://schemas.openxmlformats.org/drawingml/2006/main">
            <w:pict>
              <v:group id="Group 22741" style="width:404.64pt;height:121.273pt;mso-position-horizontal-relative:char;mso-position-vertical-relative:line" coordsize="51389,15401">
                <v:shape id="Shape 620" style="position:absolute;width:10800;height:3395;left:0;top:917;" coordsize="1080014,339514" path="m1029403,0l50611,0c22659,0,0,22659,0,50611l0,288903c0,316855,22659,339514,50611,339514l1029403,339514c1057355,339514,1080014,316855,1080014,288903l1080014,50611c1080014,22659,1057355,0,1029403,0x">
                  <v:stroke weight="0.3985pt" endcap="flat" joinstyle="miter" miterlimit="10" on="true" color="#000000"/>
                  <v:fill on="false" color="#000000" opacity="0"/>
                </v:shape>
                <v:rect id="Rectangle 622" style="position:absolute;width:7783;height:1494;left:2474;top:1409;" filled="f" stroked="f">
                  <v:textbox inset="0,0,0,0">
                    <w:txbxContent>
                      <w:p>
                        <w:pPr>
                          <w:spacing w:before="0" w:after="160" w:line="259" w:lineRule="auto"/>
                          <w:ind w:left="0" w:firstLine="0"/>
                          <w:jc w:val="left"/>
                        </w:pPr>
                        <w:r>
                          <w:rPr/>
                          <w:t xml:space="preserve">SinPAVM</w:t>
                        </w:r>
                      </w:p>
                    </w:txbxContent>
                  </v:textbox>
                </v:rect>
                <v:rect id="Rectangle 623" style="position:absolute;width:5801;height:1494;left:3219;top:2928;" filled="f" stroked="f">
                  <v:textbox inset="0,0,0,0">
                    <w:txbxContent>
                      <w:p>
                        <w:pPr>
                          <w:spacing w:before="0" w:after="160" w:line="259" w:lineRule="auto"/>
                          <w:ind w:left="0" w:firstLine="0"/>
                          <w:jc w:val="left"/>
                        </w:pPr>
                        <w:r>
                          <w:rPr/>
                          <w:t xml:space="preserve">tratable</w:t>
                        </w:r>
                      </w:p>
                    </w:txbxContent>
                  </v:textbox>
                </v:rect>
                <v:shape id="Shape 624" style="position:absolute;width:11282;height:5229;left:17330;top:0;" coordsize="1128203,522979" path="m1077592,0l50611,0c22659,0,0,22659,0,50610l0,472368c0,500319,22659,522979,50611,522979l1077592,522979c1105544,522979,1128203,500319,1128203,472368l1128203,50610c1128203,22659,1105544,0,1077592,0x">
                  <v:stroke weight="0.3985pt" endcap="flat" joinstyle="miter" miterlimit="10" on="true" color="#000000"/>
                  <v:fill on="false" color="#000000" opacity="0"/>
                </v:shape>
                <v:rect id="Rectangle 626" style="position:absolute;width:4885;height:1494;left:21135;top:492;" filled="f" stroked="f">
                  <v:textbox inset="0,0,0,0">
                    <w:txbxContent>
                      <w:p>
                        <w:pPr>
                          <w:spacing w:before="0" w:after="160" w:line="259" w:lineRule="auto"/>
                          <w:ind w:left="0" w:firstLine="0"/>
                          <w:jc w:val="left"/>
                        </w:pPr>
                        <w:r>
                          <w:rPr/>
                          <w:t xml:space="preserve">PAVM</w:t>
                        </w:r>
                      </w:p>
                    </w:txbxContent>
                  </v:textbox>
                </v:rect>
                <v:rect id="Rectangle 627" style="position:absolute;width:5801;height:1494;left:20790;top:2010;" filled="f" stroked="f">
                  <v:textbox inset="0,0,0,0">
                    <w:txbxContent>
                      <w:p>
                        <w:pPr>
                          <w:spacing w:before="0" w:after="160" w:line="259" w:lineRule="auto"/>
                          <w:ind w:left="0" w:firstLine="0"/>
                          <w:jc w:val="left"/>
                        </w:pPr>
                        <w:r>
                          <w:rPr/>
                          <w:t xml:space="preserve">tratable</w:t>
                        </w:r>
                      </w:p>
                    </w:txbxContent>
                  </v:textbox>
                </v:rect>
                <v:rect id="Rectangle 22596" style="position:absolute;width:654;height:1494;left:27614;top:3529;" filled="f" stroked="f">
                  <v:textbox inset="0,0,0,0">
                    <w:txbxContent>
                      <w:p>
                        <w:pPr>
                          <w:spacing w:before="0" w:after="160" w:line="259" w:lineRule="auto"/>
                          <w:ind w:left="0" w:firstLine="0"/>
                          <w:jc w:val="left"/>
                        </w:pPr>
                        <w:r>
                          <w:rPr/>
                          <w:t xml:space="preserve">)</w:t>
                        </w:r>
                      </w:p>
                    </w:txbxContent>
                  </v:textbox>
                </v:rect>
                <v:rect id="Rectangle 22597" style="position:absolute;width:12349;height:1494;left:18328;top:3529;" filled="f" stroked="f">
                  <v:textbox inset="0,0,0,0">
                    <w:txbxContent>
                      <w:p>
                        <w:pPr>
                          <w:spacing w:before="0" w:after="160" w:line="259" w:lineRule="auto"/>
                          <w:ind w:left="0" w:firstLine="0"/>
                          <w:jc w:val="left"/>
                        </w:pPr>
                        <w:r>
                          <w:rPr/>
                          <w:t xml:space="preserve">nodiagnosticada</w:t>
                        </w:r>
                      </w:p>
                    </w:txbxContent>
                  </v:textbox>
                </v:rect>
                <v:rect id="Rectangle 22595" style="position:absolute;width:654;height:1494;left:17836;top:3529;" filled="f" stroked="f">
                  <v:textbox inset="0,0,0,0">
                    <w:txbxContent>
                      <w:p>
                        <w:pPr>
                          <w:spacing w:before="0" w:after="160" w:line="259" w:lineRule="auto"/>
                          <w:ind w:left="0" w:firstLine="0"/>
                          <w:jc w:val="left"/>
                        </w:pPr>
                        <w:r>
                          <w:rPr/>
                          <w:t xml:space="preserve">(</w:t>
                        </w:r>
                      </w:p>
                    </w:txbxContent>
                  </v:textbox>
                </v:rect>
                <v:shape id="Shape 629" style="position:absolute;width:10800;height:3395;left:35143;top:917;" coordsize="1080013,339514" path="m1029403,0l50611,0c22659,0,0,22659,0,50611l0,288903c0,316855,22659,339514,50611,339514l1029403,339514c1057355,339514,1080013,316855,1080013,288903l1080013,50611c1080013,22659,1057355,0,1029403,0x">
                  <v:stroke weight="0.3985pt" endcap="flat" joinstyle="miter" miterlimit="10" on="true" color="#000000"/>
                  <v:fill on="false" color="#000000" opacity="0"/>
                </v:shape>
                <v:rect id="Rectangle 631" style="position:absolute;width:4885;height:1494;left:38706;top:1409;" filled="f" stroked="f">
                  <v:textbox inset="0,0,0,0">
                    <w:txbxContent>
                      <w:p>
                        <w:pPr>
                          <w:spacing w:before="0" w:after="160" w:line="259" w:lineRule="auto"/>
                          <w:ind w:left="0" w:firstLine="0"/>
                          <w:jc w:val="left"/>
                        </w:pPr>
                        <w:r>
                          <w:rPr/>
                          <w:t xml:space="preserve">PAVM</w:t>
                        </w:r>
                      </w:p>
                    </w:txbxContent>
                  </v:textbox>
                </v:rect>
                <v:rect id="Rectangle 632" style="position:absolute;width:5427;height:1494;left:38503;top:2928;" filled="f" stroked="f">
                  <v:textbox inset="0,0,0,0">
                    <w:txbxContent>
                      <w:p>
                        <w:pPr>
                          <w:spacing w:before="0" w:after="160" w:line="259" w:lineRule="auto"/>
                          <w:ind w:left="0" w:firstLine="0"/>
                          <w:jc w:val="left"/>
                        </w:pPr>
                        <w:r>
                          <w:rPr/>
                          <w:t xml:space="preserve">tratada</w:t>
                        </w:r>
                      </w:p>
                    </w:txbxContent>
                  </v:textbox>
                </v:rect>
                <v:shape id="Shape 633" style="position:absolute;width:10800;height:3641;left:17571;top:11760;" coordsize="1080014,364116" path="m1029403,0l50611,0c22659,0,0,22658,0,50611l0,313505c0,341457,22659,364116,50611,364116l1029403,364116c1057355,364116,1080014,341457,1080014,313505l1080014,50611c1080014,22658,1057355,0,1029403,0x">
                  <v:stroke weight="0.3985pt" endcap="flat" joinstyle="miter" miterlimit="10" on="true" color="#000000"/>
                  <v:fill on="false" color="#000000" opacity="0"/>
                </v:shape>
                <v:rect id="Rectangle 635" style="position:absolute;width:7979;height:1494;left:19971;top:12252;" filled="f" stroked="f">
                  <v:textbox inset="0,0,0,0">
                    <w:txbxContent>
                      <w:p>
                        <w:pPr>
                          <w:spacing w:before="0" w:after="160" w:line="259" w:lineRule="auto"/>
                          <w:ind w:left="0" w:firstLine="0"/>
                          <w:jc w:val="left"/>
                        </w:pPr>
                        <w:r>
                          <w:rPr/>
                          <w:t xml:space="preserve">Postevento</w:t>
                        </w:r>
                      </w:p>
                    </w:txbxContent>
                  </v:textbox>
                </v:rect>
                <v:rect id="Rectangle 636" style="position:absolute;width:8325;height:1494;left:19841;top:13771;" filled="f" stroked="f">
                  <v:textbox inset="0,0,0,0">
                    <w:txbxContent>
                      <w:p>
                        <w:pPr>
                          <w:spacing w:before="0" w:after="160" w:line="259" w:lineRule="auto"/>
                          <w:ind w:left="0" w:firstLine="0"/>
                          <w:jc w:val="left"/>
                        </w:pPr>
                        <w:r>
                          <w:rPr/>
                          <w:t xml:space="preserve">neurol´ogico</w:t>
                        </w:r>
                      </w:p>
                    </w:txbxContent>
                  </v:textbox>
                </v:rect>
                <v:shape id="Shape 637" style="position:absolute;width:10800;height:1876;left:35143;top:10843;" coordsize="1080013,187682" path="m1029403,0l50611,0c22659,0,0,22659,0,50611l0,137071c0,165022,22659,187682,50611,187682l1029403,187682c1057355,187682,1080013,165022,1080013,137071l1080013,50611c1080013,22659,1057355,0,1029403,0x">
                  <v:stroke weight="0.3985pt" endcap="flat" joinstyle="miter" miterlimit="10" on="true" color="#000000"/>
                  <v:fill on="false" color="#000000" opacity="0"/>
                </v:shape>
                <v:rect id="Rectangle 639" style="position:absolute;width:5286;height:1494;left:38555;top:11335;" filled="f" stroked="f">
                  <v:textbox inset="0,0,0,0">
                    <w:txbxContent>
                      <w:p>
                        <w:pPr>
                          <w:spacing w:before="0" w:after="160" w:line="259" w:lineRule="auto"/>
                          <w:ind w:left="0" w:firstLine="0"/>
                          <w:jc w:val="left"/>
                        </w:pPr>
                        <w:r>
                          <w:rPr/>
                          <w:t xml:space="preserve">Muerte</w:t>
                        </w:r>
                      </w:p>
                    </w:txbxContent>
                  </v:textbox>
                </v:rect>
                <v:shape id="Shape 640" style="position:absolute;width:5695;height:0;left:10825;top:2614;" coordsize="569561,0" path="m0,0l569561,0">
                  <v:stroke weight="0.79701pt" endcap="flat" joinstyle="miter" miterlimit="10" on="true" color="#000000"/>
                  <v:fill on="false" color="#000000" opacity="0"/>
                </v:shape>
                <v:shape id="Shape 641" style="position:absolute;width:575;height:450;left:16521;top:2389;" coordsize="57579,45008" path="m0,0c19426,10814,50508,20751,57579,22504c50508,24257,19426,34194,0,45008l0,0x">
                  <v:stroke weight="0.79701pt" endcap="flat" joinstyle="miter" miterlimit="10" on="true" color="#000000"/>
                  <v:fill on="true" color="#000000"/>
                </v:shape>
                <v:rect id="Rectangle 642" style="position:absolute;width:7743;height:1344;left:11154;top:1352;" filled="f" stroked="f">
                  <v:textbox inset="0,0,0,0">
                    <w:txbxContent>
                      <w:p>
                        <w:pPr>
                          <w:spacing w:before="0" w:after="160" w:line="259" w:lineRule="auto"/>
                          <w:ind w:left="0" w:firstLine="0"/>
                          <w:jc w:val="left"/>
                        </w:pPr>
                        <w:r>
                          <w:rPr>
                            <w:rFonts w:cs="Cambria" w:hAnsi="Cambria" w:eastAsia="Cambria" w:ascii="Cambria"/>
                            <w:sz w:val="18"/>
                          </w:rPr>
                          <w:t xml:space="preserve">crecimiento</w:t>
                        </w:r>
                      </w:p>
                    </w:txbxContent>
                  </v:textbox>
                </v:rect>
                <v:shape id="Shape 643" style="position:absolute;width:5695;height:0;left:28638;top:2614;" coordsize="569561,0" path="m0,0l569561,0">
                  <v:stroke weight="0.79701pt" endcap="flat" joinstyle="miter" miterlimit="10" on="true" color="#000000"/>
                  <v:fill on="false" color="#000000" opacity="0"/>
                </v:shape>
                <v:shape id="Shape 644" style="position:absolute;width:575;height:450;left:34333;top:2389;" coordsize="57579,45008" path="m0,0c19426,10814,50509,20751,57579,22504c50509,24257,19426,34194,0,45008l0,0x">
                  <v:stroke weight="0.79701pt" endcap="flat" joinstyle="miter" miterlimit="10" on="true" color="#000000"/>
                  <v:fill on="true" color="#000000"/>
                </v:shape>
                <v:rect id="Rectangle 645" style="position:absolute;width:16175;height:1344;left:25796;top:1130;" filled="f" stroked="f">
                  <v:textbox inset="0,0,0,0">
                    <w:txbxContent>
                      <w:p>
                        <w:pPr>
                          <w:spacing w:before="0" w:after="160" w:line="259" w:lineRule="auto"/>
                          <w:ind w:left="0" w:firstLine="0"/>
                          <w:jc w:val="left"/>
                        </w:pPr>
                        <w:r>
                          <w:rPr>
                            <w:rFonts w:cs="Cambria" w:hAnsi="Cambria" w:eastAsia="Cambria" w:ascii="Cambria"/>
                            <w:sz w:val="18"/>
                          </w:rPr>
                          <w:t xml:space="preserve">deteccio´nytratamiento</w:t>
                        </w:r>
                      </w:p>
                    </w:txbxContent>
                  </v:textbox>
                </v:rect>
                <v:shape id="Shape 646" style="position:absolute;width:0;height:5695;left:22971;top:5255;" coordsize="0,569561" path="m0,0l0,569561">
                  <v:stroke weight="0.79701pt" endcap="flat" joinstyle="miter" miterlimit="10" on="true" color="#000000"/>
                  <v:fill on="false" color="#000000" opacity="0"/>
                </v:shape>
                <v:shape id="Shape 647" style="position:absolute;width:450;height:575;left:22746;top:10950;" coordsize="45008,57579" path="m0,0l45008,0c34194,19426,24258,50509,22504,57579c20750,50509,10814,19426,0,0x">
                  <v:stroke weight="0pt" endcap="flat" joinstyle="miter" miterlimit="10" on="true" color="#000000"/>
                  <v:fill on="true" color="#000000"/>
                </v:shape>
                <v:rect id="Rectangle 648" style="position:absolute;width:4368;height:1344;left:19215;top:8054;" filled="f" stroked="f">
                  <v:textbox inset="0,0,0,0">
                    <w:txbxContent>
                      <w:p>
                        <w:pPr>
                          <w:spacing w:before="0" w:after="160" w:line="259" w:lineRule="auto"/>
                          <w:ind w:left="0" w:firstLine="0"/>
                          <w:jc w:val="left"/>
                        </w:pPr>
                        <w:r>
                          <w:rPr>
                            <w:rFonts w:cs="Cambria" w:hAnsi="Cambria" w:eastAsia="Cambria" w:ascii="Cambria"/>
                            <w:sz w:val="18"/>
                          </w:rPr>
                          <w:t xml:space="preserve">evento</w:t>
                        </w:r>
                      </w:p>
                    </w:txbxContent>
                  </v:textbox>
                </v:rect>
                <v:shape id="Shape 649" style="position:absolute;width:25266;height:6593;left:10825;top:4026;" coordsize="2526687,659343" path="m0,0l2526687,659343">
                  <v:stroke weight="0.79701pt" endcap="flat" joinstyle="miter" miterlimit="10" on="true" color="#000000"/>
                  <v:fill on="false" color="#000000" opacity="0"/>
                </v:shape>
                <v:shape id="Shape 650" style="position:absolute;width:613;height:435;left:36035;top:10402;" coordsize="61392,43546" path="m11363,0c27429,15367,54993,32828,61392,36310c54108,36222,21526,37988,0,43546l11363,0x">
                  <v:stroke weight="0.771139pt" endcap="flat" joinstyle="miter" miterlimit="10" on="true" color="#000000"/>
                  <v:fill on="true" color="#000000"/>
                </v:shape>
                <v:rect id="Rectangle 651" style="position:absolute;width:13797;height:1344;left:12992;top:7027;" filled="f" stroked="f">
                  <v:textbox inset="0,0,0,0">
                    <w:txbxContent>
                      <w:p>
                        <w:pPr>
                          <w:spacing w:before="0" w:after="160" w:line="259" w:lineRule="auto"/>
                          <w:ind w:left="0" w:firstLine="0"/>
                          <w:jc w:val="left"/>
                        </w:pPr>
                        <w:r>
                          <w:rPr>
                            <w:rFonts w:cs="Cambria" w:hAnsi="Cambria" w:eastAsia="Cambria" w:ascii="Cambria"/>
                            <w:sz w:val="18"/>
                          </w:rPr>
                          <w:t xml:space="preserve">mortalidaddefondo</w:t>
                        </w:r>
                      </w:p>
                    </w:txbxContent>
                  </v:textbox>
                </v:rect>
                <v:shape id="Shape 652" style="position:absolute;width:9972;height:5200;left:28028;top:5255;" coordsize="997299,520009" path="m0,0l997299,520009">
                  <v:stroke weight="0.79701pt" endcap="flat" joinstyle="miter" miterlimit="10" on="true" color="#000000"/>
                  <v:fill on="false" color="#000000" opacity="0"/>
                </v:shape>
                <v:shape id="Shape 653" style="position:absolute;width:614;height:465;left:37897;top:10255;" coordsize="61456,46572" path="m20807,0c33032,18569,55997,41749,61456,46572c54376,44859,22223,39299,0,39906l20807,0x">
                  <v:stroke weight="0.706661pt" endcap="flat" joinstyle="miter" miterlimit="10" on="true" color="#000000"/>
                  <v:fill on="true" color="#000000"/>
                </v:shape>
                <v:rect id="Rectangle 654" style="position:absolute;width:13797;height:1344;left:33835;top:7641;" filled="f" stroked="f">
                  <v:textbox inset="0,0,0,0">
                    <w:txbxContent>
                      <w:p>
                        <w:pPr>
                          <w:spacing w:before="0" w:after="160" w:line="259" w:lineRule="auto"/>
                          <w:ind w:left="0" w:firstLine="0"/>
                          <w:jc w:val="left"/>
                        </w:pPr>
                        <w:r>
                          <w:rPr>
                            <w:rFonts w:cs="Cambria" w:hAnsi="Cambria" w:eastAsia="Cambria" w:ascii="Cambria"/>
                            <w:sz w:val="18"/>
                          </w:rPr>
                          <w:t xml:space="preserve">mortalidaddefondo</w:t>
                        </w:r>
                      </w:p>
                    </w:txbxContent>
                  </v:textbox>
                </v:rect>
                <v:shape id="Shape 655" style="position:absolute;width:0;height:5695;left:40543;top:4337;" coordsize="0,569561" path="m0,0l0,569561">
                  <v:stroke weight="0.79701pt" endcap="flat" joinstyle="miter" miterlimit="10" on="true" color="#000000"/>
                  <v:fill on="false" color="#000000" opacity="0"/>
                </v:shape>
                <v:shape id="Shape 656" style="position:absolute;width:450;height:575;left:40318;top:10033;" coordsize="45008,57579" path="m0,0l45008,0c34194,19426,24258,50509,22504,57579c20750,50509,10814,19426,0,0x">
                  <v:stroke weight="0pt" endcap="flat" joinstyle="miter" miterlimit="10" on="true" color="#000000"/>
                  <v:fill on="true" color="#000000"/>
                </v:shape>
                <v:rect id="Rectangle 657" style="position:absolute;width:13797;height:1344;left:41015;top:7182;" filled="f" stroked="f">
                  <v:textbox inset="0,0,0,0">
                    <w:txbxContent>
                      <w:p>
                        <w:pPr>
                          <w:spacing w:before="0" w:after="160" w:line="259" w:lineRule="auto"/>
                          <w:ind w:left="0" w:firstLine="0"/>
                          <w:jc w:val="left"/>
                        </w:pPr>
                        <w:r>
                          <w:rPr>
                            <w:rFonts w:cs="Cambria" w:hAnsi="Cambria" w:eastAsia="Cambria" w:ascii="Cambria"/>
                            <w:sz w:val="18"/>
                          </w:rPr>
                          <w:t xml:space="preserve">mortalidaddefondo</w:t>
                        </w:r>
                      </w:p>
                    </w:txbxContent>
                  </v:textbox>
                </v:rect>
                <v:shape id="Shape 658" style="position:absolute;width:5940;height:609;left:28397;top:12416;" coordsize="594068,60949" path="m0,60949l594068,0">
                  <v:stroke weight="0.79701pt" endcap="flat" joinstyle="miter" miterlimit="10" on="true" color="#000000"/>
                  <v:fill on="false" color="#000000" opacity="0"/>
                </v:shape>
                <v:shape id="Shape 659" style="position:absolute;width:595;height:447;left:34314;top:12192;" coordsize="59573,44771" path="m0,0c20428,8775,52360,15488,59573,16511c52718,18977,22813,32032,4592,44771l0,0x">
                  <v:stroke weight="0.792826pt" endcap="flat" joinstyle="miter" miterlimit="10" on="true" color="#000000"/>
                  <v:fill on="true" color="#000000"/>
                </v:shape>
                <v:rect id="Rectangle 660" style="position:absolute;width:7440;height:1344;left:32229;top:12285;" filled="f" stroked="f">
                  <v:textbox inset="0,0,0,0">
                    <w:txbxContent>
                      <w:p>
                        <w:pPr>
                          <w:spacing w:before="0" w:after="160" w:line="259" w:lineRule="auto"/>
                          <w:ind w:left="0" w:firstLine="0"/>
                          <w:jc w:val="left"/>
                        </w:pPr>
                        <w:r>
                          <w:rPr>
                            <w:rFonts w:cs="Cambria" w:hAnsi="Cambria" w:eastAsia="Cambria" w:ascii="Cambria"/>
                            <w:sz w:val="18"/>
                          </w:rPr>
                          <w:t xml:space="preserve">mortalidad</w:t>
                        </w:r>
                      </w:p>
                    </w:txbxContent>
                  </v:textbox>
                </v:rect>
              </v:group>
            </w:pict>
          </mc:Fallback>
        </mc:AlternateContent>
      </w:r>
    </w:p>
    <w:p w:rsidR="00F85032" w:rsidRDefault="00C32646">
      <w:pPr>
        <w:spacing w:after="342" w:line="244" w:lineRule="auto"/>
        <w:ind w:left="-15" w:right="135" w:firstLine="0"/>
      </w:pPr>
      <w:r>
        <w:t>Figure 1: Estructura esquem´atica de transici´on de estados utilizada en la microsimulaci´on a lo largo de la vida. La detecci´on depende de la estrategia de vigilancia y del rendimiento diagn´ostico.</w:t>
      </w:r>
    </w:p>
    <w:p w:rsidR="00F85032" w:rsidRDefault="00C32646">
      <w:pPr>
        <w:pStyle w:val="Heading3"/>
        <w:ind w:left="685" w:hanging="700"/>
      </w:pPr>
      <w:r>
        <w:t>L´ogica de progresi´on de la enfermedad, detecci´on y t</w:t>
      </w:r>
      <w:r>
        <w:t>ratamiento</w:t>
      </w:r>
    </w:p>
    <w:p w:rsidR="00F85032" w:rsidRDefault="00C32646">
      <w:pPr>
        <w:ind w:left="-15" w:right="135" w:firstLine="0"/>
      </w:pPr>
      <w:r>
        <w:t>La progresi´on de las PAVM se modela como un proceso estoc´astico en el que lesiones subumbrales pueden volverse candidatas a embolizaci´on con el tiempo. En cada oportunidad de vigilancia, la detecci´on de una lesi´on tratable depende de la v´ı</w:t>
      </w:r>
      <w:r>
        <w:t>a de imagen espec´ıfica de la estrategia y de las caracter´ısticas diagn´osticas (sensibilidad y especificidad), que pueden variar segu´n la modalidad y el estrato de riesgo. Se asume que las lesiones tratables detectadas pasan a planificaci´on de emboliza</w:t>
      </w:r>
      <w:r>
        <w:t>ci´on y tratamiento con una probabilidad y eficacia especificadas, produciendo una reducci´on del riesgo subsiguiente de eventos neurol´ogicos. El riesgo residual tras el tratamiento puede modelarse para reflejar oclusi´on incompleta, reperfusi´on o aparic</w:t>
      </w:r>
      <w:r>
        <w:t>i´on de nuevas lesiones.</w:t>
      </w:r>
    </w:p>
    <w:p w:rsidR="00F85032" w:rsidRDefault="00C32646">
      <w:pPr>
        <w:spacing w:after="240"/>
        <w:ind w:left="-15" w:right="135"/>
      </w:pPr>
      <w:r>
        <w:t>En las estrategias que incluyen TC guiada por TTCE, la TTCE actu´a como prueba preliminar de cribado que determina si se realiza TC en ese ciclo. Este disen˜o captura flujos de trabajo reales en los que un cribado sin radiaci´on pu</w:t>
      </w:r>
      <w:r>
        <w:t>ede triar la necesidad de confirmaci´on mediante TC. Los falsos negativos y falsos positivos en cualquiera de las etapas se propagan a los resultados a largo plazo. Para las estrategias estratificadas por riesgo, las reglas de intervalo y el uso de modalid</w:t>
      </w:r>
      <w:r>
        <w:t>ad se actualizan segu´n atributos del paciente e historial de vigilancia, permitiendo intensificaci´on y desescalada din´amicas.</w:t>
      </w:r>
    </w:p>
    <w:p w:rsidR="00F85032" w:rsidRDefault="00C32646">
      <w:pPr>
        <w:pStyle w:val="Heading3"/>
        <w:ind w:left="685" w:hanging="700"/>
      </w:pPr>
      <w:r>
        <w:t>Estrategias comparadas</w:t>
      </w:r>
    </w:p>
    <w:p w:rsidR="00F85032" w:rsidRDefault="00C32646">
      <w:pPr>
        <w:spacing w:after="185"/>
        <w:ind w:left="-15" w:right="135" w:firstLine="0"/>
      </w:pPr>
      <w:r>
        <w:t>Evaluamos un conjunto representativo de pol´ıticas de vigilancia, seleccionado para abarcar enfoques cl´ınicos habituales y disen˜os plausibles adaptados al riesgo:</w:t>
      </w:r>
    </w:p>
    <w:p w:rsidR="00F85032" w:rsidRDefault="00C32646">
      <w:pPr>
        <w:numPr>
          <w:ilvl w:val="0"/>
          <w:numId w:val="1"/>
        </w:numPr>
        <w:spacing w:after="215" w:line="259" w:lineRule="auto"/>
        <w:ind w:right="135" w:hanging="255"/>
      </w:pPr>
      <w:r>
        <w:rPr>
          <w:b/>
        </w:rPr>
        <w:t xml:space="preserve">S1: TC est´andar de baja dosis anual </w:t>
      </w:r>
      <w:r>
        <w:t>desde el inicio.</w:t>
      </w:r>
    </w:p>
    <w:p w:rsidR="00F85032" w:rsidRDefault="00C32646">
      <w:pPr>
        <w:numPr>
          <w:ilvl w:val="0"/>
          <w:numId w:val="1"/>
        </w:numPr>
        <w:spacing w:after="178"/>
        <w:ind w:right="135" w:hanging="255"/>
      </w:pPr>
      <w:r>
        <w:rPr>
          <w:b/>
        </w:rPr>
        <w:t xml:space="preserve">S2: TC ULD anual </w:t>
      </w:r>
      <w:r>
        <w:t>desde el inicio.</w:t>
      </w:r>
    </w:p>
    <w:p w:rsidR="00F85032" w:rsidRDefault="00C32646">
      <w:pPr>
        <w:numPr>
          <w:ilvl w:val="0"/>
          <w:numId w:val="1"/>
        </w:numPr>
        <w:spacing w:after="215" w:line="259" w:lineRule="auto"/>
        <w:ind w:right="135" w:hanging="255"/>
      </w:pPr>
      <w:r>
        <w:rPr>
          <w:b/>
        </w:rPr>
        <w:t>S3:</w:t>
      </w:r>
      <w:r>
        <w:rPr>
          <w:b/>
        </w:rPr>
        <w:t xml:space="preserve"> TC ULD basal y luego TC ULD bienal tras una basal negativa</w:t>
      </w:r>
      <w:r>
        <w:t>.</w:t>
      </w:r>
    </w:p>
    <w:p w:rsidR="00F85032" w:rsidRDefault="00C32646">
      <w:pPr>
        <w:numPr>
          <w:ilvl w:val="0"/>
          <w:numId w:val="1"/>
        </w:numPr>
        <w:spacing w:after="178"/>
        <w:ind w:right="135" w:hanging="255"/>
      </w:pPr>
      <w:r>
        <w:rPr>
          <w:b/>
        </w:rPr>
        <w:t xml:space="preserve">S4: TC guiada por TTCE </w:t>
      </w:r>
      <w:r>
        <w:t>(TTCE en el intervalo; TC solo si el grado de TTCE supera un umbral).</w:t>
      </w:r>
    </w:p>
    <w:p w:rsidR="00F85032" w:rsidRDefault="00C32646">
      <w:pPr>
        <w:numPr>
          <w:ilvl w:val="0"/>
          <w:numId w:val="1"/>
        </w:numPr>
        <w:spacing w:after="159"/>
        <w:ind w:right="135" w:hanging="255"/>
      </w:pPr>
      <w:r>
        <w:rPr>
          <w:b/>
        </w:rPr>
        <w:t xml:space="preserve">S5: ULD ajustada por genotipo/fenotipo </w:t>
      </w:r>
      <w:r>
        <w:t>(intervalos m´as cortos para estratos de mayor riesgo; interval</w:t>
      </w:r>
      <w:r>
        <w:t>os ampliados tras basal negativa en estratos de menor riesgo).</w:t>
      </w:r>
    </w:p>
    <w:p w:rsidR="00F85032" w:rsidRDefault="00C32646">
      <w:pPr>
        <w:spacing w:after="240"/>
        <w:ind w:left="-15" w:right="135"/>
      </w:pPr>
      <w:r>
        <w:t xml:space="preserve">Estas estrategias son ilustrativas y no exhaustivas. El marco de modelado es extensible y puede acomodar calendarios alternativos de intervalos, v´ıas h´ıbridas, protocolos pos-embolizaci´on y </w:t>
      </w:r>
      <w:r>
        <w:t>restricciones de recursos espec´ıficas de cada centro. Es importante destacar que todas las estrategias se evalu´an bajo el mismo criterio de seguridad primero, evitando interpretar favorablemente reducciones de dosis si estas se logran a costa de aumentos</w:t>
      </w:r>
      <w:r>
        <w:t xml:space="preserve"> inaceptables de lesiones tratables omitidas.</w:t>
      </w:r>
    </w:p>
    <w:p w:rsidR="00F85032" w:rsidRDefault="00C32646">
      <w:pPr>
        <w:pStyle w:val="Heading3"/>
        <w:ind w:left="685" w:hanging="700"/>
      </w:pPr>
      <w:r>
        <w:t>Costes, utilidades y representaci´on del dan˜o relacionado con la radiaci´on</w:t>
      </w:r>
    </w:p>
    <w:p w:rsidR="00F85032" w:rsidRDefault="00C32646">
      <w:pPr>
        <w:ind w:left="-15" w:right="135" w:firstLine="0"/>
      </w:pPr>
      <w:r>
        <w:t>Los costes incluyen imagen (TTCE y TC), seguimiento ambulatorio, procedimientos de embolizaci´on, manejo de complicaciones y costes a</w:t>
      </w:r>
      <w:r>
        <w:t>gudos/a largo plazo de eventos neurol´ogicos. Las utilidades incorporan salud basal ajustada por edad y decrementos asociados a estados posteriores a eventos neurol´ogicos, con desutilidad opcional de corto plazo para procedimientos. El an´alisis puede rea</w:t>
      </w:r>
      <w:r>
        <w:t>lizarse desde la perspectiva del pagador o del sistema sanitario, especificando expl´ıcitamente el an˜o de costes y el descuento.</w:t>
      </w:r>
    </w:p>
    <w:p w:rsidR="00F85032" w:rsidRDefault="00C32646">
      <w:pPr>
        <w:spacing w:after="240"/>
        <w:ind w:left="-15" w:right="135"/>
      </w:pPr>
      <w:r>
        <w:t>El dan˜o por radiaci´on se modela mediante un proxy aditivo de riesgo de c´ancer a largo plazo informado por edad en la exposi</w:t>
      </w:r>
      <w:r>
        <w:t>ci´on y dosis, en consonancia con marcos establecidos de protecci´on radiol´ogica [15–17]. En el an´alisis base, la dosis acumulada se reporta directamente como objetivo primario de optimizaci´on. En an´alisis de escenarios, la dosis se traduce en una m´et</w:t>
      </w:r>
      <w:r>
        <w:t>rica estimada de riesgo atribuible de por vida para apoyar la interpretaci´on por parte de cl´ınicos y responsables de pol´ıticas. Dado que la proyecci´on de riesgo a dosis muy bajas y a horizontes largos es incierta, estos an´alisis se tratan como salidas</w:t>
      </w:r>
      <w:r>
        <w:t xml:space="preserve"> de sensibilidad/escenario y no como restricciones r´ıgidas, salvo que los actores de pol´ıtica especifiquen lo contrario.</w:t>
      </w:r>
    </w:p>
    <w:p w:rsidR="00F85032" w:rsidRDefault="00C32646">
      <w:pPr>
        <w:pStyle w:val="Heading3"/>
        <w:ind w:left="685" w:hanging="700"/>
      </w:pPr>
      <w:r>
        <w:t>Cuantificaci´on de la incertidumbre y an´alisis de sensibilidad</w:t>
      </w:r>
    </w:p>
    <w:p w:rsidR="00F85032" w:rsidRDefault="00C32646">
      <w:pPr>
        <w:ind w:left="-15" w:right="135" w:firstLine="0"/>
      </w:pPr>
      <w:r>
        <w:t xml:space="preserve">Realizamos an´alisis de sensibilidad probabil´ıstico (PSA) asignando </w:t>
      </w:r>
      <w:r>
        <w:t>distribuciones de par´ametros que reflejan tanto incertidumbre estad´ıstica como estructural: distribuciones beta para probabilidades (p.ej., sensibilidad, especificidad, riesgos de progresi´on), distribuciones gamma o lognormal para costes, y distribucion</w:t>
      </w:r>
      <w:r>
        <w:t xml:space="preserve">es normal/normal truncada para par´ametros cl´ınicos continuos. Cada extracci´on del PSA muestrea un conjunto coherente de par´ametros, tras lo cual se ejecuta la microsimulaci´on para estimar resultados y comparaciones incrementales. Se generan curvas de </w:t>
      </w:r>
      <w:r>
        <w:t>aceptabilidad coste-efectividad (cuando correspondan), probabilidades de factibilidad para la restricci´on de seguridad y an´alisis de sensibilidad de una y dos v´ıas para identificar los principales determinantes de decisi´on.</w:t>
      </w:r>
    </w:p>
    <w:p w:rsidR="00F85032" w:rsidRDefault="00C32646">
      <w:pPr>
        <w:spacing w:after="290"/>
        <w:ind w:left="-15" w:right="135"/>
      </w:pPr>
      <w:r>
        <w:t>Adem´as del PSA est´andar, l</w:t>
      </w:r>
      <w:r>
        <w:t xml:space="preserve">os an´alisis de escenarios exploran supuestos alternativos sobre correcci´on de sesgo de verificaci´on, din´amica de crecimiento de lesiones, umbrales de rendimiento de TTCE y cola inferior de sensibilidad ULD en subgrupos pedi´atricos dif´ıciles. Esto es </w:t>
      </w:r>
      <w:r>
        <w:t>crucial porque una estrategia puede parecer segura bajo valores medios de par´ametros y, sin embargo, incumplir la restricci´on de seguridad bajo combinaciones adversas pero plausibles de sensibilidad y tasas de progresi´on.</w:t>
      </w:r>
    </w:p>
    <w:p w:rsidR="00F85032" w:rsidRDefault="00C32646">
      <w:pPr>
        <w:pStyle w:val="Heading2"/>
        <w:ind w:left="598" w:right="135" w:hanging="613"/>
      </w:pPr>
      <w:r>
        <w:t>An´alisis teo´rico utilizado pa</w:t>
      </w:r>
      <w:r>
        <w:t>ra el cribado de factibilidad previo a la simulaci´on</w:t>
      </w:r>
    </w:p>
    <w:p w:rsidR="00F85032" w:rsidRDefault="00C32646">
      <w:pPr>
        <w:pStyle w:val="Heading3"/>
        <w:ind w:left="685" w:hanging="700"/>
      </w:pPr>
      <w:r>
        <w:t>Cota conservadora para la restricci´on de seguridad</w:t>
      </w:r>
    </w:p>
    <w:p w:rsidR="00F85032" w:rsidRDefault="00C32646">
      <w:pPr>
        <w:ind w:left="-15" w:right="135" w:firstLine="0"/>
      </w:pPr>
      <w:r>
        <w:t xml:space="preserve">Antes de la microsimulaci´on completa, derivamos una cota conservadora simple que vincula la sensibilidad por exploraci´on, la frecuencia de vigilancia y la probabilidad admisible de omisi´on prolongada. Sea </w:t>
      </w:r>
      <w:r>
        <w:rPr>
          <w:i/>
        </w:rPr>
        <w:t xml:space="preserve">S </w:t>
      </w:r>
      <w:r>
        <w:t>la sensibilidad por exploraci´on para detectar</w:t>
      </w:r>
      <w:r>
        <w:t xml:space="preserve"> una PAVM tratable cuando est´a presente, y sea </w:t>
      </w:r>
      <w:r>
        <w:rPr>
          <w:i/>
        </w:rPr>
        <w:t xml:space="preserve">k </w:t>
      </w:r>
      <w:r>
        <w:t xml:space="preserve">el nu´mero de oportunidades de vigilancia que ocurren dentro del retraso m´aximo permisible </w:t>
      </w:r>
      <w:r>
        <w:rPr>
          <w:i/>
        </w:rPr>
        <w:t xml:space="preserve">τ </w:t>
      </w:r>
      <w:r>
        <w:t xml:space="preserve">an˜os (p.ej., </w:t>
      </w:r>
      <w:r>
        <w:rPr>
          <w:i/>
        </w:rPr>
        <w:t xml:space="preserve">k </w:t>
      </w:r>
      <w:r>
        <w:t xml:space="preserve">= </w:t>
      </w:r>
      <w:r>
        <w:rPr>
          <w:i/>
        </w:rPr>
        <w:t xml:space="preserve">τ </w:t>
      </w:r>
      <w:r>
        <w:t xml:space="preserve">con imagen anual si </w:t>
      </w:r>
      <w:r>
        <w:rPr>
          <w:i/>
        </w:rPr>
        <w:t xml:space="preserve">τ </w:t>
      </w:r>
      <w:r>
        <w:t>se mide en an˜os). Bajo una aproximaci´on de independencia condicional</w:t>
      </w:r>
      <w:r>
        <w:t xml:space="preserve"> entre oportunidades de vigilancia, la probabilidad de omitir una PAVM tratable en las </w:t>
      </w:r>
      <w:r>
        <w:rPr>
          <w:i/>
        </w:rPr>
        <w:t xml:space="preserve">k </w:t>
      </w:r>
      <w:r>
        <w:t>oportunidades est´a acotada por</w:t>
      </w:r>
    </w:p>
    <w:tbl>
      <w:tblPr>
        <w:tblStyle w:val="TableGrid"/>
        <w:tblW w:w="9638" w:type="dxa"/>
        <w:tblInd w:w="0" w:type="dxa"/>
        <w:tblCellMar>
          <w:top w:w="38" w:type="dxa"/>
          <w:left w:w="0" w:type="dxa"/>
          <w:bottom w:w="0" w:type="dxa"/>
          <w:right w:w="0" w:type="dxa"/>
        </w:tblCellMar>
        <w:tblLook w:val="04A0" w:firstRow="1" w:lastRow="0" w:firstColumn="1" w:lastColumn="0" w:noHBand="0" w:noVBand="1"/>
      </w:tblPr>
      <w:tblGrid>
        <w:gridCol w:w="9383"/>
        <w:gridCol w:w="255"/>
      </w:tblGrid>
      <w:tr w:rsidR="00F85032">
        <w:trPr>
          <w:trHeight w:val="840"/>
        </w:trPr>
        <w:tc>
          <w:tcPr>
            <w:tcW w:w="9383" w:type="dxa"/>
            <w:tcBorders>
              <w:top w:val="nil"/>
              <w:left w:val="nil"/>
              <w:bottom w:val="nil"/>
              <w:right w:val="nil"/>
            </w:tcBorders>
          </w:tcPr>
          <w:p w:rsidR="00F85032" w:rsidRDefault="00C32646">
            <w:pPr>
              <w:spacing w:after="251" w:line="259" w:lineRule="auto"/>
              <w:ind w:left="255" w:firstLine="0"/>
              <w:jc w:val="center"/>
            </w:pPr>
            <w:r>
              <w:t xml:space="preserve">Pr(omisi´on durante </w:t>
            </w:r>
            <w:r>
              <w:rPr>
                <w:i/>
              </w:rPr>
              <w:t>τ</w:t>
            </w:r>
            <w:r>
              <w:t xml:space="preserve">) </w:t>
            </w:r>
            <w:r>
              <w:t xml:space="preserve">≤ </w:t>
            </w:r>
            <w:r>
              <w:t xml:space="preserve">(1 </w:t>
            </w:r>
            <w:r>
              <w:t>−</w:t>
            </w:r>
            <w:r>
              <w:t xml:space="preserve"> </w:t>
            </w:r>
            <w:r>
              <w:rPr>
                <w:i/>
              </w:rPr>
              <w:t>S</w:t>
            </w:r>
            <w:r>
              <w:t>)</w:t>
            </w:r>
            <w:r>
              <w:rPr>
                <w:i/>
                <w:vertAlign w:val="superscript"/>
              </w:rPr>
              <w:t>k</w:t>
            </w:r>
            <w:r>
              <w:rPr>
                <w:i/>
              </w:rPr>
              <w:t>.</w:t>
            </w:r>
          </w:p>
          <w:p w:rsidR="00F85032" w:rsidRDefault="00C32646">
            <w:pPr>
              <w:spacing w:after="0" w:line="259" w:lineRule="auto"/>
              <w:ind w:firstLine="0"/>
              <w:jc w:val="left"/>
            </w:pPr>
            <w:r>
              <w:t>Por tanto, una condici´on suficiente para satisfacer la restricci´on de seguridad de la Ec. (5) es</w:t>
            </w:r>
          </w:p>
        </w:tc>
        <w:tc>
          <w:tcPr>
            <w:tcW w:w="255" w:type="dxa"/>
            <w:tcBorders>
              <w:top w:val="nil"/>
              <w:left w:val="nil"/>
              <w:bottom w:val="nil"/>
              <w:right w:val="nil"/>
            </w:tcBorders>
          </w:tcPr>
          <w:p w:rsidR="00F85032" w:rsidRDefault="00C32646">
            <w:pPr>
              <w:spacing w:after="0" w:line="259" w:lineRule="auto"/>
              <w:ind w:firstLine="0"/>
            </w:pPr>
            <w:r>
              <w:t>(8)</w:t>
            </w:r>
          </w:p>
        </w:tc>
      </w:tr>
      <w:tr w:rsidR="00F85032">
        <w:trPr>
          <w:trHeight w:val="352"/>
        </w:trPr>
        <w:tc>
          <w:tcPr>
            <w:tcW w:w="9383" w:type="dxa"/>
            <w:tcBorders>
              <w:top w:val="nil"/>
              <w:left w:val="nil"/>
              <w:bottom w:val="nil"/>
              <w:right w:val="nil"/>
            </w:tcBorders>
            <w:vAlign w:val="bottom"/>
          </w:tcPr>
          <w:p w:rsidR="00F85032" w:rsidRDefault="00C32646">
            <w:pPr>
              <w:spacing w:after="0" w:line="259" w:lineRule="auto"/>
              <w:ind w:left="255" w:firstLine="0"/>
              <w:jc w:val="center"/>
            </w:pPr>
            <w:r>
              <w:t xml:space="preserve">(1 </w:t>
            </w:r>
            <w:r>
              <w:t>−</w:t>
            </w:r>
            <w:r>
              <w:t xml:space="preserve"> </w:t>
            </w:r>
            <w:r>
              <w:rPr>
                <w:i/>
              </w:rPr>
              <w:t>S</w:t>
            </w:r>
            <w:r>
              <w:t>)</w:t>
            </w:r>
            <w:r>
              <w:rPr>
                <w:i/>
                <w:vertAlign w:val="superscript"/>
              </w:rPr>
              <w:t xml:space="preserve">k </w:t>
            </w:r>
            <w:r>
              <w:t xml:space="preserve">≤ </w:t>
            </w:r>
            <w:r>
              <w:rPr>
                <w:i/>
              </w:rPr>
              <w:t>ϵ</w:t>
            </w:r>
            <w:r>
              <w:rPr>
                <w:i/>
              </w:rPr>
              <w:t>.</w:t>
            </w:r>
          </w:p>
        </w:tc>
        <w:tc>
          <w:tcPr>
            <w:tcW w:w="255" w:type="dxa"/>
            <w:tcBorders>
              <w:top w:val="nil"/>
              <w:left w:val="nil"/>
              <w:bottom w:val="nil"/>
              <w:right w:val="nil"/>
            </w:tcBorders>
            <w:vAlign w:val="bottom"/>
          </w:tcPr>
          <w:p w:rsidR="00F85032" w:rsidRDefault="00C32646">
            <w:pPr>
              <w:spacing w:after="0" w:line="259" w:lineRule="auto"/>
              <w:ind w:firstLine="0"/>
            </w:pPr>
            <w:r>
              <w:t>(9)</w:t>
            </w:r>
          </w:p>
        </w:tc>
      </w:tr>
    </w:tbl>
    <w:p w:rsidR="00F85032" w:rsidRDefault="00C32646">
      <w:pPr>
        <w:spacing w:after="245"/>
        <w:ind w:left="-15" w:right="135"/>
      </w:pPr>
      <w:r>
        <w:t xml:space="preserve">Esta cota es intencionadamente simplificada y conservadora. En la pr´actica, las observaciones seriadas pueden no ser condicionalmente independientes porque la conspicuidad de la lesi´on, el comportamiento del lector y la calidad de la exploraci´on pueden </w:t>
      </w:r>
      <w:r>
        <w:t>estar correlacionados en el tiempo. No obstante, la Ec. (9) es valiosa como heur´ıstica de disen˜o porque proporciona un cribado inmediato de factibilidad: si una estrategia candidata no satisface la desigualdad usando estimaciones plausibles del l´ımite i</w:t>
      </w:r>
      <w:r>
        <w:t>nferior de sensibilidad, es poco probable que cumpla el criterio completo de seguridad en microsimulaci´on. De forma inversa, satisfacer la desigualdad no garantiza la seguridad una vez que se modelan el momento de progresi´on, la TTCE como filtro y la sen</w:t>
      </w:r>
      <w:r>
        <w:t>sibilidad heterog´enea, pero s´ı identifica una regi´on de admisibilidad plausible.</w:t>
      </w:r>
    </w:p>
    <w:p w:rsidR="00F85032" w:rsidRDefault="00C32646">
      <w:pPr>
        <w:pStyle w:val="Heading3"/>
        <w:spacing w:after="212"/>
        <w:ind w:left="685" w:hanging="700"/>
      </w:pPr>
      <w:r>
        <w:t>Monotonicidad de la dosis e implicaciones para el disen˜o de estrategias</w:t>
      </w:r>
    </w:p>
    <w:p w:rsidR="00F85032" w:rsidRDefault="00C32646">
      <w:pPr>
        <w:spacing w:after="210"/>
        <w:ind w:left="-15" w:right="135" w:firstLine="0"/>
      </w:pPr>
      <w:r>
        <w:t xml:space="preserve">Sean </w:t>
      </w:r>
      <w:r>
        <w:rPr>
          <w:i/>
        </w:rPr>
        <w:t>d</w:t>
      </w:r>
      <w:r>
        <w:rPr>
          <w:vertAlign w:val="subscript"/>
        </w:rPr>
        <w:t xml:space="preserve">ULD </w:t>
      </w:r>
      <w:r>
        <w:t xml:space="preserve">y </w:t>
      </w:r>
      <w:r>
        <w:rPr>
          <w:i/>
        </w:rPr>
        <w:t>d</w:t>
      </w:r>
      <w:r>
        <w:rPr>
          <w:vertAlign w:val="subscript"/>
        </w:rPr>
        <w:t xml:space="preserve">LD </w:t>
      </w:r>
      <w:r>
        <w:t>proxies de dosis por exploraci´on (o comparadores basados en SSDE) para TC ULD y TC</w:t>
      </w:r>
      <w:r>
        <w:t xml:space="preserve"> est´andar de baja dosis, con </w:t>
      </w:r>
      <w:r>
        <w:rPr>
          <w:i/>
        </w:rPr>
        <w:t>d</w:t>
      </w:r>
      <w:r>
        <w:rPr>
          <w:vertAlign w:val="subscript"/>
        </w:rPr>
        <w:t xml:space="preserve">ULD </w:t>
      </w:r>
      <w:r>
        <w:rPr>
          <w:i/>
        </w:rPr>
        <w:t>&lt; d</w:t>
      </w:r>
      <w:r>
        <w:rPr>
          <w:vertAlign w:val="subscript"/>
        </w:rPr>
        <w:t>LD</w:t>
      </w:r>
      <w:r>
        <w:t>. Para cualesquiera dos estrategias con nu´mero id´entico de exploraciones y v´ıas de paciente id´enticas salvo por el tipo de protocolo de TC, la dosis acumulada cumple</w:t>
      </w:r>
    </w:p>
    <w:p w:rsidR="00F85032" w:rsidRDefault="00C32646">
      <w:pPr>
        <w:tabs>
          <w:tab w:val="center" w:pos="4819"/>
          <w:tab w:val="right" w:pos="9788"/>
        </w:tabs>
        <w:spacing w:after="243" w:line="259" w:lineRule="auto"/>
        <w:ind w:firstLine="0"/>
        <w:jc w:val="left"/>
      </w:pPr>
      <w:r>
        <w:rPr>
          <w:rFonts w:ascii="Calibri" w:eastAsia="Calibri" w:hAnsi="Calibri" w:cs="Calibri"/>
          <w:sz w:val="22"/>
        </w:rPr>
        <w:tab/>
      </w:r>
      <w:r>
        <w:rPr>
          <w:i/>
        </w:rPr>
        <w:t>D</w:t>
      </w:r>
      <w:r>
        <w:t>(ULD</w:t>
      </w:r>
      <w:r>
        <w:rPr>
          <w:i/>
        </w:rPr>
        <w:t>,</w:t>
      </w:r>
      <w:r>
        <w:t>∆</w:t>
      </w:r>
      <w:r>
        <w:t xml:space="preserve">) </w:t>
      </w:r>
      <w:r>
        <w:rPr>
          <w:i/>
        </w:rPr>
        <w:t>&lt; D</w:t>
      </w:r>
      <w:r>
        <w:t>(LD</w:t>
      </w:r>
      <w:r>
        <w:rPr>
          <w:i/>
        </w:rPr>
        <w:t>,</w:t>
      </w:r>
      <w:r>
        <w:t>∆</w:t>
      </w:r>
      <w:r>
        <w:t>)</w:t>
      </w:r>
      <w:r>
        <w:rPr>
          <w:i/>
        </w:rPr>
        <w:t>.</w:t>
      </w:r>
      <w:r>
        <w:rPr>
          <w:i/>
        </w:rPr>
        <w:tab/>
      </w:r>
      <w:r>
        <w:t>(10)</w:t>
      </w:r>
    </w:p>
    <w:p w:rsidR="00F85032" w:rsidRDefault="00C32646">
      <w:pPr>
        <w:ind w:left="-15" w:right="135" w:firstLine="0"/>
      </w:pPr>
      <w:r>
        <w:t>As´ı, el beneficio t</w:t>
      </w:r>
      <w:r>
        <w:t>otal en dosis de una pol´ıtica de vigilancia est´a gobernado por dos mecanismos: (i) reducir la dosis por exploraci´on y (ii) reducir el nu´mero de exploraciones de TC mediante ampliaci´on de intervalos o estrategias guiadas, siempre que se mantenga la seg</w:t>
      </w:r>
      <w:r>
        <w:t xml:space="preserve">uridad. Esta observaci´on aclara por qu´e los enfoques estratificados por riesgo y guiados por TTCE pueden superar a una TC ULD anual simple en resultados de dosis a lo largo de la vida: las mayores ganancias suelen surgir cuando una modulaci´on segura de </w:t>
      </w:r>
      <w:r>
        <w:t>intervalos se combina con menor dosis por exploraci´on.</w:t>
      </w:r>
    </w:p>
    <w:p w:rsidR="00F85032" w:rsidRDefault="00C32646">
      <w:pPr>
        <w:ind w:left="-15" w:right="135"/>
      </w:pPr>
      <w:r>
        <w:t>Dentro de la optimizaci´on con restricciones de la Ec. (6), esta monotonicidad implica que, una vez que la sensibilidad de la ULD es suficientemente alta para preservar la admisibilidad, las pol´ıtica</w:t>
      </w:r>
      <w:r>
        <w:t xml:space="preserve">s que desescalan de forma segura el seguimiento tras hallazgos negativos se convierten en fuertes candidatas a la optimalidad. Sin embargo, si la desescalada hace que el nu´mero efectivo de oportunidades de vigilancia </w:t>
      </w:r>
      <w:r>
        <w:rPr>
          <w:i/>
        </w:rPr>
        <w:t xml:space="preserve">k </w:t>
      </w:r>
      <w:r>
        <w:t xml:space="preserve">dentro de </w:t>
      </w:r>
      <w:r>
        <w:rPr>
          <w:i/>
        </w:rPr>
        <w:t xml:space="preserve">τ </w:t>
      </w:r>
      <w:r>
        <w:t>caiga por debajo del umb</w:t>
      </w:r>
      <w:r>
        <w:t>ral impl´ıcito por la Ec. (9), la factibilidad de seguridad puede perderse pese a una dosis acumulada baja. Por ello, la microsimulaci´on actu´a como ´arbitro final de este equilibrio.</w:t>
      </w:r>
    </w:p>
    <w:p w:rsidR="00F85032" w:rsidRDefault="00C32646">
      <w:pPr>
        <w:pStyle w:val="Heading2"/>
        <w:ind w:left="598" w:right="135" w:hanging="613"/>
      </w:pPr>
      <w:r>
        <w:t xml:space="preserve">Experimentos num´ericos y parametrizaci´on </w:t>
      </w:r>
      <w:r>
        <w:rPr>
          <w:rFonts w:ascii="Calibri" w:eastAsia="Calibri" w:hAnsi="Calibri" w:cs="Calibri"/>
          <w:b w:val="0"/>
          <w:i/>
        </w:rPr>
        <w:t>in silico</w:t>
      </w:r>
    </w:p>
    <w:p w:rsidR="00F85032" w:rsidRDefault="00C32646">
      <w:pPr>
        <w:pStyle w:val="Heading3"/>
        <w:ind w:left="685" w:hanging="700"/>
      </w:pPr>
      <w:r>
        <w:t>Objetivo y justifi</w:t>
      </w:r>
      <w:r>
        <w:t>caci´on</w:t>
      </w:r>
    </w:p>
    <w:p w:rsidR="00F85032" w:rsidRDefault="00C32646">
      <w:pPr>
        <w:spacing w:after="245"/>
        <w:ind w:left="-15" w:right="135" w:firstLine="0"/>
      </w:pPr>
      <w:r>
        <w:t xml:space="preserve">Dado que el estudio diagn´ostico pedi´atrico propuesto es prospectivo y, por tanto, au´n no est´a completado, presentamos una evaluaci´on </w:t>
      </w:r>
      <w:r>
        <w:rPr>
          <w:i/>
        </w:rPr>
        <w:t xml:space="preserve">in silico </w:t>
      </w:r>
      <w:r>
        <w:t>para (i) cuantificar la magnitud esperada de reducci´on de dosis alcanzable bajo un rendimiento ULD plausible, (ii) probar si estrategias representativas estratificadas por riesgo pueden satisfacer la restricci´on de seguridad y (iii) identificar los par´a</w:t>
      </w:r>
      <w:r>
        <w:t>metros que m´as determinan el ordenamiento y la factibilidad de las pol´ıticas. Estas simulaciones son ilustrativas y generadoras de hip´otesis, no definitivas; su valor principal es guiar prioridades de disen˜o del estudio y someter a prueba el marco meto</w:t>
      </w:r>
      <w:r>
        <w:t>dol´ogico.</w:t>
      </w:r>
    </w:p>
    <w:p w:rsidR="00F85032" w:rsidRDefault="00C32646">
      <w:pPr>
        <w:pStyle w:val="Heading3"/>
        <w:ind w:left="685" w:hanging="700"/>
      </w:pPr>
      <w:r>
        <w:t>Par´ametros del caso base y distribuciones de incertidumbre</w:t>
      </w:r>
    </w:p>
    <w:p w:rsidR="00F85032" w:rsidRDefault="00C32646">
      <w:pPr>
        <w:spacing w:after="335"/>
        <w:ind w:left="-15" w:right="135" w:firstLine="0"/>
      </w:pPr>
      <w:r>
        <w:t>A los par´ametros se les asignan valores de caso base informados por la literatura y rangos plausibles (Tabla 1). Donde las estimaciones espec´ıficas pedi´atricas son limitadas, se util</w:t>
      </w:r>
      <w:r>
        <w:t>izan supuestos conservadores y rangos amplios para evitar conclusiones excesivamente confiadas. Los valores de rendimiento diagn´ostico para TC ULD y TC de baja dosis se mantienen intencionalmente cercanos en el caso base para reflejar la hip´otesis cl´ıni</w:t>
      </w:r>
      <w:r>
        <w:t>ca de que la TC ULD puede preservar sensibilidad para lesiones candidatas a embolizaci´on mientras reduce sustancialmente la dosis.</w:t>
      </w:r>
    </w:p>
    <w:p w:rsidR="00F85032" w:rsidRDefault="00C32646">
      <w:pPr>
        <w:spacing w:after="0" w:line="259" w:lineRule="auto"/>
        <w:ind w:left="10" w:right="150" w:hanging="10"/>
        <w:jc w:val="center"/>
      </w:pPr>
      <w:r>
        <w:t xml:space="preserve">Table 1: Entradas del caso base para la microsimulaci´on (solo para evaluaci´on </w:t>
      </w:r>
      <w:r>
        <w:rPr>
          <w:i/>
        </w:rPr>
        <w:t>in silico</w:t>
      </w:r>
      <w:r>
        <w:t>).</w:t>
      </w:r>
    </w:p>
    <w:tbl>
      <w:tblPr>
        <w:tblStyle w:val="TableGrid"/>
        <w:tblW w:w="6907" w:type="dxa"/>
        <w:tblInd w:w="1365" w:type="dxa"/>
        <w:tblCellMar>
          <w:top w:w="31" w:type="dxa"/>
          <w:left w:w="0" w:type="dxa"/>
          <w:bottom w:w="0" w:type="dxa"/>
          <w:right w:w="120" w:type="dxa"/>
        </w:tblCellMar>
        <w:tblLook w:val="04A0" w:firstRow="1" w:lastRow="0" w:firstColumn="1" w:lastColumn="0" w:noHBand="0" w:noVBand="1"/>
      </w:tblPr>
      <w:tblGrid>
        <w:gridCol w:w="3477"/>
        <w:gridCol w:w="737"/>
        <w:gridCol w:w="1335"/>
        <w:gridCol w:w="1358"/>
      </w:tblGrid>
      <w:tr w:rsidR="00F85032">
        <w:trPr>
          <w:trHeight w:val="342"/>
        </w:trPr>
        <w:tc>
          <w:tcPr>
            <w:tcW w:w="3477" w:type="dxa"/>
            <w:tcBorders>
              <w:top w:val="single" w:sz="6" w:space="0" w:color="000000"/>
              <w:left w:val="nil"/>
              <w:bottom w:val="single" w:sz="4" w:space="0" w:color="000000"/>
              <w:right w:val="nil"/>
            </w:tcBorders>
          </w:tcPr>
          <w:p w:rsidR="00F85032" w:rsidRDefault="00C32646">
            <w:pPr>
              <w:spacing w:after="0" w:line="259" w:lineRule="auto"/>
              <w:ind w:left="120" w:firstLine="0"/>
              <w:jc w:val="left"/>
            </w:pPr>
            <w:r>
              <w:rPr>
                <w:b/>
              </w:rPr>
              <w:t>Par´ametro</w:t>
            </w:r>
          </w:p>
        </w:tc>
        <w:tc>
          <w:tcPr>
            <w:tcW w:w="737" w:type="dxa"/>
            <w:tcBorders>
              <w:top w:val="single" w:sz="6" w:space="0" w:color="000000"/>
              <w:left w:val="nil"/>
              <w:bottom w:val="single" w:sz="4" w:space="0" w:color="000000"/>
              <w:right w:val="nil"/>
            </w:tcBorders>
          </w:tcPr>
          <w:p w:rsidR="00F85032" w:rsidRDefault="00C32646">
            <w:pPr>
              <w:spacing w:after="0" w:line="259" w:lineRule="auto"/>
              <w:ind w:left="14" w:firstLine="0"/>
              <w:jc w:val="left"/>
            </w:pPr>
            <w:r>
              <w:rPr>
                <w:b/>
              </w:rPr>
              <w:t>Base</w:t>
            </w:r>
          </w:p>
        </w:tc>
        <w:tc>
          <w:tcPr>
            <w:tcW w:w="1335" w:type="dxa"/>
            <w:tcBorders>
              <w:top w:val="single" w:sz="6" w:space="0" w:color="000000"/>
              <w:left w:val="nil"/>
              <w:bottom w:val="single" w:sz="4" w:space="0" w:color="000000"/>
              <w:right w:val="nil"/>
            </w:tcBorders>
          </w:tcPr>
          <w:p w:rsidR="00F85032" w:rsidRDefault="00C32646">
            <w:pPr>
              <w:spacing w:after="0" w:line="259" w:lineRule="auto"/>
              <w:ind w:left="228" w:firstLine="0"/>
              <w:jc w:val="left"/>
            </w:pPr>
            <w:r>
              <w:rPr>
                <w:b/>
              </w:rPr>
              <w:t>Rango</w:t>
            </w:r>
          </w:p>
        </w:tc>
        <w:tc>
          <w:tcPr>
            <w:tcW w:w="1358" w:type="dxa"/>
            <w:tcBorders>
              <w:top w:val="single" w:sz="6" w:space="0" w:color="000000"/>
              <w:left w:val="nil"/>
              <w:bottom w:val="single" w:sz="4" w:space="0" w:color="000000"/>
              <w:right w:val="nil"/>
            </w:tcBorders>
          </w:tcPr>
          <w:p w:rsidR="00F85032" w:rsidRDefault="00C32646">
            <w:pPr>
              <w:spacing w:after="0" w:line="259" w:lineRule="auto"/>
              <w:ind w:firstLine="0"/>
              <w:jc w:val="left"/>
            </w:pPr>
            <w:r>
              <w:rPr>
                <w:b/>
              </w:rPr>
              <w:t>Distribuci´on</w:t>
            </w:r>
          </w:p>
        </w:tc>
      </w:tr>
      <w:tr w:rsidR="00F85032">
        <w:trPr>
          <w:trHeight w:val="537"/>
        </w:trPr>
        <w:tc>
          <w:tcPr>
            <w:tcW w:w="3477" w:type="dxa"/>
            <w:tcBorders>
              <w:top w:val="single" w:sz="4" w:space="0" w:color="000000"/>
              <w:left w:val="nil"/>
              <w:bottom w:val="nil"/>
              <w:right w:val="nil"/>
            </w:tcBorders>
          </w:tcPr>
          <w:p w:rsidR="00F85032" w:rsidRDefault="00C32646">
            <w:pPr>
              <w:spacing w:after="9" w:line="259" w:lineRule="auto"/>
              <w:ind w:left="120" w:firstLine="0"/>
              <w:jc w:val="left"/>
            </w:pPr>
            <w:r>
              <w:t>Sensibilidad por exploraci´on (TC</w:t>
            </w:r>
          </w:p>
          <w:p w:rsidR="00F85032" w:rsidRDefault="00C32646">
            <w:pPr>
              <w:spacing w:after="0" w:line="259" w:lineRule="auto"/>
              <w:ind w:left="120" w:firstLine="0"/>
              <w:jc w:val="left"/>
            </w:pPr>
            <w:r>
              <w:t xml:space="preserve">ULD) para arteria nutricia </w:t>
            </w:r>
            <w:r>
              <w:t>≥</w:t>
            </w:r>
            <w:r>
              <w:t>2 mm</w:t>
            </w:r>
          </w:p>
        </w:tc>
        <w:tc>
          <w:tcPr>
            <w:tcW w:w="737" w:type="dxa"/>
            <w:tcBorders>
              <w:top w:val="single" w:sz="4" w:space="0" w:color="000000"/>
              <w:left w:val="nil"/>
              <w:bottom w:val="nil"/>
              <w:right w:val="nil"/>
            </w:tcBorders>
          </w:tcPr>
          <w:p w:rsidR="00F85032" w:rsidRDefault="00C32646">
            <w:pPr>
              <w:spacing w:after="0" w:line="259" w:lineRule="auto"/>
              <w:ind w:left="72" w:firstLine="0"/>
              <w:jc w:val="left"/>
            </w:pPr>
            <w:r>
              <w:t>0.98</w:t>
            </w:r>
          </w:p>
        </w:tc>
        <w:tc>
          <w:tcPr>
            <w:tcW w:w="1335" w:type="dxa"/>
            <w:tcBorders>
              <w:top w:val="single" w:sz="4" w:space="0" w:color="000000"/>
              <w:left w:val="nil"/>
              <w:bottom w:val="nil"/>
              <w:right w:val="nil"/>
            </w:tcBorders>
          </w:tcPr>
          <w:p w:rsidR="00F85032" w:rsidRDefault="00C32646">
            <w:pPr>
              <w:spacing w:after="0" w:line="259" w:lineRule="auto"/>
              <w:ind w:left="94" w:firstLine="0"/>
              <w:jc w:val="left"/>
            </w:pPr>
            <w:r>
              <w:t>0.94–0.995</w:t>
            </w:r>
          </w:p>
        </w:tc>
        <w:tc>
          <w:tcPr>
            <w:tcW w:w="1358" w:type="dxa"/>
            <w:tcBorders>
              <w:top w:val="single" w:sz="4" w:space="0" w:color="000000"/>
              <w:left w:val="nil"/>
              <w:bottom w:val="nil"/>
              <w:right w:val="nil"/>
            </w:tcBorders>
          </w:tcPr>
          <w:p w:rsidR="00F85032" w:rsidRDefault="00C32646">
            <w:pPr>
              <w:spacing w:after="0" w:line="259" w:lineRule="auto"/>
              <w:ind w:firstLine="0"/>
              <w:jc w:val="center"/>
            </w:pPr>
            <w:r>
              <w:t>Beta</w:t>
            </w:r>
          </w:p>
        </w:tc>
      </w:tr>
      <w:tr w:rsidR="00F85032">
        <w:trPr>
          <w:trHeight w:val="717"/>
        </w:trPr>
        <w:tc>
          <w:tcPr>
            <w:tcW w:w="3477" w:type="dxa"/>
            <w:tcBorders>
              <w:top w:val="nil"/>
              <w:left w:val="nil"/>
              <w:bottom w:val="nil"/>
              <w:right w:val="nil"/>
            </w:tcBorders>
          </w:tcPr>
          <w:p w:rsidR="00F85032" w:rsidRDefault="00C32646">
            <w:pPr>
              <w:spacing w:after="0" w:line="268" w:lineRule="auto"/>
              <w:ind w:left="120" w:firstLine="0"/>
            </w:pPr>
            <w:r>
              <w:t xml:space="preserve">Sensibilidad por exploraci´on (TC de baja dosis) para arteria nutricia </w:t>
            </w:r>
            <w:r>
              <w:t>≥</w:t>
            </w:r>
            <w:r>
              <w:t>2</w:t>
            </w:r>
          </w:p>
          <w:p w:rsidR="00F85032" w:rsidRDefault="00C32646">
            <w:pPr>
              <w:spacing w:after="0" w:line="259" w:lineRule="auto"/>
              <w:ind w:left="120" w:firstLine="0"/>
              <w:jc w:val="left"/>
            </w:pPr>
            <w:r>
              <w:t>mm</w:t>
            </w:r>
          </w:p>
        </w:tc>
        <w:tc>
          <w:tcPr>
            <w:tcW w:w="737" w:type="dxa"/>
            <w:tcBorders>
              <w:top w:val="nil"/>
              <w:left w:val="nil"/>
              <w:bottom w:val="nil"/>
              <w:right w:val="nil"/>
            </w:tcBorders>
          </w:tcPr>
          <w:p w:rsidR="00F85032" w:rsidRDefault="00C32646">
            <w:pPr>
              <w:spacing w:after="0" w:line="259" w:lineRule="auto"/>
              <w:ind w:left="72" w:firstLine="0"/>
              <w:jc w:val="left"/>
            </w:pPr>
            <w:r>
              <w:t>0.99</w:t>
            </w:r>
          </w:p>
        </w:tc>
        <w:tc>
          <w:tcPr>
            <w:tcW w:w="1335" w:type="dxa"/>
            <w:tcBorders>
              <w:top w:val="nil"/>
              <w:left w:val="nil"/>
              <w:bottom w:val="nil"/>
              <w:right w:val="nil"/>
            </w:tcBorders>
          </w:tcPr>
          <w:p w:rsidR="00F85032" w:rsidRDefault="00C32646">
            <w:pPr>
              <w:spacing w:after="0" w:line="259" w:lineRule="auto"/>
              <w:ind w:left="94" w:firstLine="0"/>
              <w:jc w:val="left"/>
            </w:pPr>
            <w:r>
              <w:t>0.97–0.997</w:t>
            </w:r>
          </w:p>
        </w:tc>
        <w:tc>
          <w:tcPr>
            <w:tcW w:w="1358" w:type="dxa"/>
            <w:tcBorders>
              <w:top w:val="nil"/>
              <w:left w:val="nil"/>
              <w:bottom w:val="nil"/>
              <w:right w:val="nil"/>
            </w:tcBorders>
          </w:tcPr>
          <w:p w:rsidR="00F85032" w:rsidRDefault="00C32646">
            <w:pPr>
              <w:spacing w:after="0" w:line="259" w:lineRule="auto"/>
              <w:ind w:firstLine="0"/>
              <w:jc w:val="center"/>
            </w:pPr>
            <w:r>
              <w:t>Beta</w:t>
            </w:r>
          </w:p>
        </w:tc>
      </w:tr>
      <w:tr w:rsidR="00F85032">
        <w:trPr>
          <w:trHeight w:val="239"/>
        </w:trPr>
        <w:tc>
          <w:tcPr>
            <w:tcW w:w="3477" w:type="dxa"/>
            <w:tcBorders>
              <w:top w:val="nil"/>
              <w:left w:val="nil"/>
              <w:bottom w:val="nil"/>
              <w:right w:val="nil"/>
            </w:tcBorders>
          </w:tcPr>
          <w:p w:rsidR="00F85032" w:rsidRDefault="00C32646">
            <w:pPr>
              <w:spacing w:after="0" w:line="259" w:lineRule="auto"/>
              <w:ind w:left="120" w:firstLine="0"/>
              <w:jc w:val="left"/>
            </w:pPr>
            <w:r>
              <w:t>Especificidad (TC ULD)</w:t>
            </w:r>
          </w:p>
        </w:tc>
        <w:tc>
          <w:tcPr>
            <w:tcW w:w="737" w:type="dxa"/>
            <w:tcBorders>
              <w:top w:val="nil"/>
              <w:left w:val="nil"/>
              <w:bottom w:val="nil"/>
              <w:right w:val="nil"/>
            </w:tcBorders>
          </w:tcPr>
          <w:p w:rsidR="00F85032" w:rsidRDefault="00C32646">
            <w:pPr>
              <w:spacing w:after="0" w:line="259" w:lineRule="auto"/>
              <w:ind w:left="72" w:firstLine="0"/>
              <w:jc w:val="left"/>
            </w:pPr>
            <w:r>
              <w:t>0.95</w:t>
            </w:r>
          </w:p>
        </w:tc>
        <w:tc>
          <w:tcPr>
            <w:tcW w:w="1335" w:type="dxa"/>
            <w:tcBorders>
              <w:top w:val="nil"/>
              <w:left w:val="nil"/>
              <w:bottom w:val="nil"/>
              <w:right w:val="nil"/>
            </w:tcBorders>
          </w:tcPr>
          <w:p w:rsidR="00F85032" w:rsidRDefault="00C32646">
            <w:pPr>
              <w:spacing w:after="0" w:line="259" w:lineRule="auto"/>
              <w:ind w:left="144" w:firstLine="0"/>
              <w:jc w:val="left"/>
            </w:pPr>
            <w:r>
              <w:t>0.90–0.98</w:t>
            </w:r>
          </w:p>
        </w:tc>
        <w:tc>
          <w:tcPr>
            <w:tcW w:w="1358" w:type="dxa"/>
            <w:tcBorders>
              <w:top w:val="nil"/>
              <w:left w:val="nil"/>
              <w:bottom w:val="nil"/>
              <w:right w:val="nil"/>
            </w:tcBorders>
          </w:tcPr>
          <w:p w:rsidR="00F85032" w:rsidRDefault="00C32646">
            <w:pPr>
              <w:spacing w:after="0" w:line="259" w:lineRule="auto"/>
              <w:ind w:firstLine="0"/>
              <w:jc w:val="center"/>
            </w:pPr>
            <w:r>
              <w:t>Beta</w:t>
            </w:r>
          </w:p>
        </w:tc>
      </w:tr>
      <w:tr w:rsidR="00F85032">
        <w:trPr>
          <w:trHeight w:val="717"/>
        </w:trPr>
        <w:tc>
          <w:tcPr>
            <w:tcW w:w="3477" w:type="dxa"/>
            <w:tcBorders>
              <w:top w:val="nil"/>
              <w:left w:val="nil"/>
              <w:bottom w:val="nil"/>
              <w:right w:val="nil"/>
            </w:tcBorders>
          </w:tcPr>
          <w:p w:rsidR="00F85032" w:rsidRDefault="00C32646">
            <w:pPr>
              <w:spacing w:after="0" w:line="259" w:lineRule="auto"/>
              <w:ind w:left="120" w:right="119" w:firstLine="0"/>
            </w:pPr>
            <w:r>
              <w:t xml:space="preserve">Probabilidad anual de progresi´on a PAVM tratable (subumbral </w:t>
            </w:r>
            <w:r>
              <w:t xml:space="preserve">→ </w:t>
            </w:r>
            <w:r>
              <w:t>tratable)</w:t>
            </w:r>
          </w:p>
        </w:tc>
        <w:tc>
          <w:tcPr>
            <w:tcW w:w="737" w:type="dxa"/>
            <w:tcBorders>
              <w:top w:val="nil"/>
              <w:left w:val="nil"/>
              <w:bottom w:val="nil"/>
              <w:right w:val="nil"/>
            </w:tcBorders>
          </w:tcPr>
          <w:p w:rsidR="00F85032" w:rsidRDefault="00C32646">
            <w:pPr>
              <w:spacing w:after="0" w:line="259" w:lineRule="auto"/>
              <w:ind w:left="72" w:firstLine="0"/>
              <w:jc w:val="left"/>
            </w:pPr>
            <w:r>
              <w:t>0.03</w:t>
            </w:r>
          </w:p>
        </w:tc>
        <w:tc>
          <w:tcPr>
            <w:tcW w:w="1335" w:type="dxa"/>
            <w:tcBorders>
              <w:top w:val="nil"/>
              <w:left w:val="nil"/>
              <w:bottom w:val="nil"/>
              <w:right w:val="nil"/>
            </w:tcBorders>
          </w:tcPr>
          <w:p w:rsidR="00F85032" w:rsidRDefault="00C32646">
            <w:pPr>
              <w:spacing w:after="0" w:line="259" w:lineRule="auto"/>
              <w:ind w:left="144" w:firstLine="0"/>
              <w:jc w:val="left"/>
            </w:pPr>
            <w:r>
              <w:t>0.01–0.06</w:t>
            </w:r>
          </w:p>
        </w:tc>
        <w:tc>
          <w:tcPr>
            <w:tcW w:w="1358" w:type="dxa"/>
            <w:tcBorders>
              <w:top w:val="nil"/>
              <w:left w:val="nil"/>
              <w:bottom w:val="nil"/>
              <w:right w:val="nil"/>
            </w:tcBorders>
          </w:tcPr>
          <w:p w:rsidR="00F85032" w:rsidRDefault="00C32646">
            <w:pPr>
              <w:spacing w:after="0" w:line="259" w:lineRule="auto"/>
              <w:ind w:firstLine="0"/>
              <w:jc w:val="center"/>
            </w:pPr>
            <w:r>
              <w:t>Beta</w:t>
            </w:r>
          </w:p>
        </w:tc>
      </w:tr>
      <w:tr w:rsidR="00F85032">
        <w:trPr>
          <w:trHeight w:val="717"/>
        </w:trPr>
        <w:tc>
          <w:tcPr>
            <w:tcW w:w="3477" w:type="dxa"/>
            <w:tcBorders>
              <w:top w:val="nil"/>
              <w:left w:val="nil"/>
              <w:bottom w:val="nil"/>
              <w:right w:val="nil"/>
            </w:tcBorders>
          </w:tcPr>
          <w:p w:rsidR="00F85032" w:rsidRDefault="00C32646">
            <w:pPr>
              <w:spacing w:after="0" w:line="259" w:lineRule="auto"/>
              <w:ind w:left="120" w:right="119" w:firstLine="0"/>
            </w:pPr>
            <w:r>
              <w:t>Probabilidad anual de evento neurol´ogico si PAVM tratable no diagnosticada</w:t>
            </w:r>
          </w:p>
        </w:tc>
        <w:tc>
          <w:tcPr>
            <w:tcW w:w="737" w:type="dxa"/>
            <w:tcBorders>
              <w:top w:val="nil"/>
              <w:left w:val="nil"/>
              <w:bottom w:val="nil"/>
              <w:right w:val="nil"/>
            </w:tcBorders>
          </w:tcPr>
          <w:p w:rsidR="00F85032" w:rsidRDefault="00C32646">
            <w:pPr>
              <w:spacing w:after="0" w:line="259" w:lineRule="auto"/>
              <w:ind w:left="22" w:firstLine="0"/>
              <w:jc w:val="left"/>
            </w:pPr>
            <w:r>
              <w:t>0.005</w:t>
            </w:r>
          </w:p>
        </w:tc>
        <w:tc>
          <w:tcPr>
            <w:tcW w:w="1335" w:type="dxa"/>
            <w:tcBorders>
              <w:top w:val="nil"/>
              <w:left w:val="nil"/>
              <w:bottom w:val="nil"/>
              <w:right w:val="nil"/>
            </w:tcBorders>
          </w:tcPr>
          <w:p w:rsidR="00F85032" w:rsidRDefault="00C32646">
            <w:pPr>
              <w:spacing w:after="0" w:line="259" w:lineRule="auto"/>
              <w:ind w:left="94" w:firstLine="0"/>
              <w:jc w:val="left"/>
            </w:pPr>
            <w:r>
              <w:t>0.002–0.01</w:t>
            </w:r>
          </w:p>
        </w:tc>
        <w:tc>
          <w:tcPr>
            <w:tcW w:w="1358" w:type="dxa"/>
            <w:tcBorders>
              <w:top w:val="nil"/>
              <w:left w:val="nil"/>
              <w:bottom w:val="nil"/>
              <w:right w:val="nil"/>
            </w:tcBorders>
          </w:tcPr>
          <w:p w:rsidR="00F85032" w:rsidRDefault="00C32646">
            <w:pPr>
              <w:spacing w:after="0" w:line="259" w:lineRule="auto"/>
              <w:ind w:firstLine="0"/>
              <w:jc w:val="center"/>
            </w:pPr>
            <w:r>
              <w:t>Beta</w:t>
            </w:r>
          </w:p>
        </w:tc>
      </w:tr>
      <w:tr w:rsidR="00F85032">
        <w:trPr>
          <w:trHeight w:val="478"/>
        </w:trPr>
        <w:tc>
          <w:tcPr>
            <w:tcW w:w="3477" w:type="dxa"/>
            <w:tcBorders>
              <w:top w:val="nil"/>
              <w:left w:val="nil"/>
              <w:bottom w:val="nil"/>
              <w:right w:val="nil"/>
            </w:tcBorders>
          </w:tcPr>
          <w:p w:rsidR="00F85032" w:rsidRDefault="00C32646">
            <w:pPr>
              <w:spacing w:after="0" w:line="259" w:lineRule="auto"/>
              <w:ind w:left="120" w:firstLine="0"/>
              <w:jc w:val="left"/>
            </w:pPr>
            <w:r>
              <w:t>Reducci´on del riesgo de evento tras embolizaci´on</w:t>
            </w:r>
          </w:p>
        </w:tc>
        <w:tc>
          <w:tcPr>
            <w:tcW w:w="737" w:type="dxa"/>
            <w:tcBorders>
              <w:top w:val="nil"/>
              <w:left w:val="nil"/>
              <w:bottom w:val="nil"/>
              <w:right w:val="nil"/>
            </w:tcBorders>
          </w:tcPr>
          <w:p w:rsidR="00F85032" w:rsidRDefault="00C32646">
            <w:pPr>
              <w:spacing w:after="0" w:line="259" w:lineRule="auto"/>
              <w:ind w:left="72" w:firstLine="0"/>
              <w:jc w:val="left"/>
            </w:pPr>
            <w:r>
              <w:t>0.80</w:t>
            </w:r>
          </w:p>
        </w:tc>
        <w:tc>
          <w:tcPr>
            <w:tcW w:w="1335" w:type="dxa"/>
            <w:tcBorders>
              <w:top w:val="nil"/>
              <w:left w:val="nil"/>
              <w:bottom w:val="nil"/>
              <w:right w:val="nil"/>
            </w:tcBorders>
          </w:tcPr>
          <w:p w:rsidR="00F85032" w:rsidRDefault="00C32646">
            <w:pPr>
              <w:spacing w:after="0" w:line="259" w:lineRule="auto"/>
              <w:ind w:left="144" w:firstLine="0"/>
              <w:jc w:val="left"/>
            </w:pPr>
            <w:r>
              <w:t>0.60–0.90</w:t>
            </w:r>
          </w:p>
        </w:tc>
        <w:tc>
          <w:tcPr>
            <w:tcW w:w="1358" w:type="dxa"/>
            <w:tcBorders>
              <w:top w:val="nil"/>
              <w:left w:val="nil"/>
              <w:bottom w:val="nil"/>
              <w:right w:val="nil"/>
            </w:tcBorders>
          </w:tcPr>
          <w:p w:rsidR="00F85032" w:rsidRDefault="00C32646">
            <w:pPr>
              <w:spacing w:after="0" w:line="259" w:lineRule="auto"/>
              <w:ind w:firstLine="0"/>
              <w:jc w:val="center"/>
            </w:pPr>
            <w:r>
              <w:t>Beta</w:t>
            </w:r>
          </w:p>
        </w:tc>
      </w:tr>
      <w:tr w:rsidR="00F85032">
        <w:trPr>
          <w:trHeight w:val="478"/>
        </w:trPr>
        <w:tc>
          <w:tcPr>
            <w:tcW w:w="3477" w:type="dxa"/>
            <w:tcBorders>
              <w:top w:val="nil"/>
              <w:left w:val="nil"/>
              <w:bottom w:val="nil"/>
              <w:right w:val="nil"/>
            </w:tcBorders>
          </w:tcPr>
          <w:p w:rsidR="00F85032" w:rsidRDefault="00C32646">
            <w:pPr>
              <w:spacing w:after="0" w:line="259" w:lineRule="auto"/>
              <w:ind w:left="120" w:firstLine="0"/>
              <w:jc w:val="left"/>
            </w:pPr>
            <w:r>
              <w:t>Proxy de dosis por exploraci´on: TC de baja dosis (mSv)</w:t>
            </w:r>
          </w:p>
        </w:tc>
        <w:tc>
          <w:tcPr>
            <w:tcW w:w="737" w:type="dxa"/>
            <w:tcBorders>
              <w:top w:val="nil"/>
              <w:left w:val="nil"/>
              <w:bottom w:val="nil"/>
              <w:right w:val="nil"/>
            </w:tcBorders>
          </w:tcPr>
          <w:p w:rsidR="00F85032" w:rsidRDefault="00C32646">
            <w:pPr>
              <w:spacing w:after="0" w:line="259" w:lineRule="auto"/>
              <w:ind w:left="122" w:firstLine="0"/>
              <w:jc w:val="left"/>
            </w:pPr>
            <w:r>
              <w:t>1.0</w:t>
            </w:r>
          </w:p>
        </w:tc>
        <w:tc>
          <w:tcPr>
            <w:tcW w:w="1335" w:type="dxa"/>
            <w:tcBorders>
              <w:top w:val="nil"/>
              <w:left w:val="nil"/>
              <w:bottom w:val="nil"/>
              <w:right w:val="nil"/>
            </w:tcBorders>
          </w:tcPr>
          <w:p w:rsidR="00F85032" w:rsidRDefault="00C32646">
            <w:pPr>
              <w:spacing w:after="0" w:line="259" w:lineRule="auto"/>
              <w:ind w:left="243" w:firstLine="0"/>
              <w:jc w:val="left"/>
            </w:pPr>
            <w:r>
              <w:t>0.6–1.5</w:t>
            </w:r>
          </w:p>
        </w:tc>
        <w:tc>
          <w:tcPr>
            <w:tcW w:w="1358" w:type="dxa"/>
            <w:tcBorders>
              <w:top w:val="nil"/>
              <w:left w:val="nil"/>
              <w:bottom w:val="nil"/>
              <w:right w:val="nil"/>
            </w:tcBorders>
          </w:tcPr>
          <w:p w:rsidR="00F85032" w:rsidRDefault="00C32646">
            <w:pPr>
              <w:spacing w:after="0" w:line="259" w:lineRule="auto"/>
              <w:ind w:left="153" w:firstLine="0"/>
              <w:jc w:val="left"/>
            </w:pPr>
            <w:r>
              <w:t>Lognormal</w:t>
            </w:r>
          </w:p>
        </w:tc>
      </w:tr>
      <w:tr w:rsidR="00F85032">
        <w:trPr>
          <w:trHeight w:val="478"/>
        </w:trPr>
        <w:tc>
          <w:tcPr>
            <w:tcW w:w="3477" w:type="dxa"/>
            <w:tcBorders>
              <w:top w:val="nil"/>
              <w:left w:val="nil"/>
              <w:bottom w:val="nil"/>
              <w:right w:val="nil"/>
            </w:tcBorders>
          </w:tcPr>
          <w:p w:rsidR="00F85032" w:rsidRDefault="00C32646">
            <w:pPr>
              <w:spacing w:after="0" w:line="259" w:lineRule="auto"/>
              <w:ind w:left="120" w:firstLine="0"/>
              <w:jc w:val="left"/>
            </w:pPr>
            <w:r>
              <w:t>Proxy de dosis por exploraci´on: TC</w:t>
            </w:r>
          </w:p>
          <w:p w:rsidR="00F85032" w:rsidRDefault="00C32646">
            <w:pPr>
              <w:spacing w:after="0" w:line="259" w:lineRule="auto"/>
              <w:ind w:left="120" w:firstLine="0"/>
              <w:jc w:val="left"/>
            </w:pPr>
            <w:r>
              <w:t>ULD (mSv)</w:t>
            </w:r>
          </w:p>
        </w:tc>
        <w:tc>
          <w:tcPr>
            <w:tcW w:w="737" w:type="dxa"/>
            <w:tcBorders>
              <w:top w:val="nil"/>
              <w:left w:val="nil"/>
              <w:bottom w:val="nil"/>
              <w:right w:val="nil"/>
            </w:tcBorders>
          </w:tcPr>
          <w:p w:rsidR="00F85032" w:rsidRDefault="00C32646">
            <w:pPr>
              <w:spacing w:after="0" w:line="259" w:lineRule="auto"/>
              <w:ind w:left="122" w:firstLine="0"/>
              <w:jc w:val="left"/>
            </w:pPr>
            <w:r>
              <w:t>0.2</w:t>
            </w:r>
          </w:p>
        </w:tc>
        <w:tc>
          <w:tcPr>
            <w:tcW w:w="1335" w:type="dxa"/>
            <w:tcBorders>
              <w:top w:val="nil"/>
              <w:left w:val="nil"/>
              <w:bottom w:val="nil"/>
              <w:right w:val="nil"/>
            </w:tcBorders>
          </w:tcPr>
          <w:p w:rsidR="00F85032" w:rsidRDefault="00C32646">
            <w:pPr>
              <w:spacing w:after="0" w:line="259" w:lineRule="auto"/>
              <w:ind w:left="243" w:firstLine="0"/>
              <w:jc w:val="left"/>
            </w:pPr>
            <w:r>
              <w:t>0.1–0.4</w:t>
            </w:r>
          </w:p>
        </w:tc>
        <w:tc>
          <w:tcPr>
            <w:tcW w:w="1358" w:type="dxa"/>
            <w:tcBorders>
              <w:top w:val="nil"/>
              <w:left w:val="nil"/>
              <w:bottom w:val="nil"/>
              <w:right w:val="nil"/>
            </w:tcBorders>
          </w:tcPr>
          <w:p w:rsidR="00F85032" w:rsidRDefault="00C32646">
            <w:pPr>
              <w:spacing w:after="0" w:line="259" w:lineRule="auto"/>
              <w:ind w:left="153" w:firstLine="0"/>
              <w:jc w:val="left"/>
            </w:pPr>
            <w:r>
              <w:t>Lognormal</w:t>
            </w:r>
          </w:p>
        </w:tc>
      </w:tr>
      <w:tr w:rsidR="00F85032">
        <w:trPr>
          <w:trHeight w:val="239"/>
        </w:trPr>
        <w:tc>
          <w:tcPr>
            <w:tcW w:w="3477" w:type="dxa"/>
            <w:tcBorders>
              <w:top w:val="nil"/>
              <w:left w:val="nil"/>
              <w:bottom w:val="nil"/>
              <w:right w:val="nil"/>
            </w:tcBorders>
          </w:tcPr>
          <w:p w:rsidR="00F85032" w:rsidRDefault="00C32646">
            <w:pPr>
              <w:spacing w:after="0" w:line="259" w:lineRule="auto"/>
              <w:ind w:left="120" w:firstLine="0"/>
              <w:jc w:val="left"/>
            </w:pPr>
            <w:r>
              <w:t>Coste de embolizaci´on (USD, 2024)</w:t>
            </w:r>
          </w:p>
        </w:tc>
        <w:tc>
          <w:tcPr>
            <w:tcW w:w="737" w:type="dxa"/>
            <w:tcBorders>
              <w:top w:val="nil"/>
              <w:left w:val="nil"/>
              <w:bottom w:val="nil"/>
              <w:right w:val="nil"/>
            </w:tcBorders>
          </w:tcPr>
          <w:p w:rsidR="00F85032" w:rsidRDefault="00C32646">
            <w:pPr>
              <w:spacing w:after="0" w:line="259" w:lineRule="auto"/>
              <w:ind w:firstLine="0"/>
              <w:jc w:val="left"/>
            </w:pPr>
            <w:r>
              <w:t>15000</w:t>
            </w:r>
          </w:p>
        </w:tc>
        <w:tc>
          <w:tcPr>
            <w:tcW w:w="1335" w:type="dxa"/>
            <w:tcBorders>
              <w:top w:val="nil"/>
              <w:left w:val="nil"/>
              <w:bottom w:val="nil"/>
              <w:right w:val="nil"/>
            </w:tcBorders>
          </w:tcPr>
          <w:p w:rsidR="00F85032" w:rsidRDefault="00C32646">
            <w:pPr>
              <w:spacing w:after="0" w:line="259" w:lineRule="auto"/>
              <w:ind w:left="50" w:firstLine="0"/>
              <w:jc w:val="left"/>
            </w:pPr>
            <w:r>
              <w:t>9000–25000</w:t>
            </w:r>
          </w:p>
        </w:tc>
        <w:tc>
          <w:tcPr>
            <w:tcW w:w="1358" w:type="dxa"/>
            <w:tcBorders>
              <w:top w:val="nil"/>
              <w:left w:val="nil"/>
              <w:bottom w:val="nil"/>
              <w:right w:val="nil"/>
            </w:tcBorders>
          </w:tcPr>
          <w:p w:rsidR="00F85032" w:rsidRDefault="00C32646">
            <w:pPr>
              <w:spacing w:after="0" w:line="259" w:lineRule="auto"/>
              <w:ind w:left="276" w:firstLine="0"/>
              <w:jc w:val="left"/>
            </w:pPr>
            <w:r>
              <w:t>Gamma</w:t>
            </w:r>
          </w:p>
        </w:tc>
      </w:tr>
      <w:tr w:rsidR="00F85032">
        <w:trPr>
          <w:trHeight w:val="478"/>
        </w:trPr>
        <w:tc>
          <w:tcPr>
            <w:tcW w:w="3477" w:type="dxa"/>
            <w:tcBorders>
              <w:top w:val="nil"/>
              <w:left w:val="nil"/>
              <w:bottom w:val="nil"/>
              <w:right w:val="nil"/>
            </w:tcBorders>
          </w:tcPr>
          <w:p w:rsidR="00F85032" w:rsidRDefault="00C32646">
            <w:pPr>
              <w:spacing w:after="0" w:line="259" w:lineRule="auto"/>
              <w:ind w:left="120" w:firstLine="0"/>
              <w:jc w:val="left"/>
            </w:pPr>
            <w:r>
              <w:t>Coste agudo de evento neurol´ogico</w:t>
            </w:r>
          </w:p>
          <w:p w:rsidR="00F85032" w:rsidRDefault="00C32646">
            <w:pPr>
              <w:spacing w:after="0" w:line="259" w:lineRule="auto"/>
              <w:ind w:left="120" w:firstLine="0"/>
              <w:jc w:val="left"/>
            </w:pPr>
            <w:r>
              <w:t>(USD)</w:t>
            </w:r>
          </w:p>
        </w:tc>
        <w:tc>
          <w:tcPr>
            <w:tcW w:w="737" w:type="dxa"/>
            <w:tcBorders>
              <w:top w:val="nil"/>
              <w:left w:val="nil"/>
              <w:bottom w:val="nil"/>
              <w:right w:val="nil"/>
            </w:tcBorders>
          </w:tcPr>
          <w:p w:rsidR="00F85032" w:rsidRDefault="00C32646">
            <w:pPr>
              <w:spacing w:after="0" w:line="259" w:lineRule="auto"/>
              <w:ind w:firstLine="0"/>
              <w:jc w:val="left"/>
            </w:pPr>
            <w:r>
              <w:t>25000</w:t>
            </w:r>
          </w:p>
        </w:tc>
        <w:tc>
          <w:tcPr>
            <w:tcW w:w="1335" w:type="dxa"/>
            <w:tcBorders>
              <w:top w:val="nil"/>
              <w:left w:val="nil"/>
              <w:bottom w:val="nil"/>
              <w:right w:val="nil"/>
            </w:tcBorders>
          </w:tcPr>
          <w:p w:rsidR="00F85032" w:rsidRDefault="00C32646">
            <w:pPr>
              <w:spacing w:after="0" w:line="259" w:lineRule="auto"/>
              <w:ind w:firstLine="0"/>
              <w:jc w:val="left"/>
            </w:pPr>
            <w:r>
              <w:t>15000–50000</w:t>
            </w:r>
          </w:p>
        </w:tc>
        <w:tc>
          <w:tcPr>
            <w:tcW w:w="1358" w:type="dxa"/>
            <w:tcBorders>
              <w:top w:val="nil"/>
              <w:left w:val="nil"/>
              <w:bottom w:val="nil"/>
              <w:right w:val="nil"/>
            </w:tcBorders>
          </w:tcPr>
          <w:p w:rsidR="00F85032" w:rsidRDefault="00C32646">
            <w:pPr>
              <w:spacing w:after="0" w:line="259" w:lineRule="auto"/>
              <w:ind w:left="276" w:firstLine="0"/>
              <w:jc w:val="left"/>
            </w:pPr>
            <w:r>
              <w:t>Gamma</w:t>
            </w:r>
          </w:p>
        </w:tc>
      </w:tr>
      <w:tr w:rsidR="00F85032">
        <w:trPr>
          <w:trHeight w:val="239"/>
        </w:trPr>
        <w:tc>
          <w:tcPr>
            <w:tcW w:w="3477" w:type="dxa"/>
            <w:tcBorders>
              <w:top w:val="nil"/>
              <w:left w:val="nil"/>
              <w:bottom w:val="nil"/>
              <w:right w:val="nil"/>
            </w:tcBorders>
          </w:tcPr>
          <w:p w:rsidR="00F85032" w:rsidRDefault="00C32646">
            <w:pPr>
              <w:spacing w:after="0" w:line="259" w:lineRule="auto"/>
              <w:ind w:left="120" w:firstLine="0"/>
              <w:jc w:val="left"/>
            </w:pPr>
            <w:r>
              <w:t>Decremento de utilidad pos-evento</w:t>
            </w:r>
          </w:p>
        </w:tc>
        <w:tc>
          <w:tcPr>
            <w:tcW w:w="737" w:type="dxa"/>
            <w:tcBorders>
              <w:top w:val="nil"/>
              <w:left w:val="nil"/>
              <w:bottom w:val="nil"/>
              <w:right w:val="nil"/>
            </w:tcBorders>
          </w:tcPr>
          <w:p w:rsidR="00F85032" w:rsidRDefault="00C32646">
            <w:pPr>
              <w:spacing w:after="0" w:line="259" w:lineRule="auto"/>
              <w:ind w:left="72" w:firstLine="0"/>
              <w:jc w:val="left"/>
            </w:pPr>
            <w:r>
              <w:t>0.20</w:t>
            </w:r>
          </w:p>
        </w:tc>
        <w:tc>
          <w:tcPr>
            <w:tcW w:w="1335" w:type="dxa"/>
            <w:tcBorders>
              <w:top w:val="nil"/>
              <w:left w:val="nil"/>
              <w:bottom w:val="nil"/>
              <w:right w:val="nil"/>
            </w:tcBorders>
          </w:tcPr>
          <w:p w:rsidR="00F85032" w:rsidRDefault="00C32646">
            <w:pPr>
              <w:spacing w:after="0" w:line="259" w:lineRule="auto"/>
              <w:ind w:left="144" w:firstLine="0"/>
              <w:jc w:val="left"/>
            </w:pPr>
            <w:r>
              <w:t>0.10–0.35</w:t>
            </w:r>
          </w:p>
        </w:tc>
        <w:tc>
          <w:tcPr>
            <w:tcW w:w="1358" w:type="dxa"/>
            <w:tcBorders>
              <w:top w:val="nil"/>
              <w:left w:val="nil"/>
              <w:bottom w:val="nil"/>
              <w:right w:val="nil"/>
            </w:tcBorders>
          </w:tcPr>
          <w:p w:rsidR="00F85032" w:rsidRDefault="00C32646">
            <w:pPr>
              <w:spacing w:after="0" w:line="259" w:lineRule="auto"/>
              <w:ind w:firstLine="0"/>
              <w:jc w:val="center"/>
            </w:pPr>
            <w:r>
              <w:t>Beta</w:t>
            </w:r>
          </w:p>
        </w:tc>
      </w:tr>
      <w:tr w:rsidR="00F85032">
        <w:trPr>
          <w:trHeight w:val="283"/>
        </w:trPr>
        <w:tc>
          <w:tcPr>
            <w:tcW w:w="3477" w:type="dxa"/>
            <w:tcBorders>
              <w:top w:val="nil"/>
              <w:left w:val="nil"/>
              <w:bottom w:val="single" w:sz="6" w:space="0" w:color="000000"/>
              <w:right w:val="nil"/>
            </w:tcBorders>
          </w:tcPr>
          <w:p w:rsidR="00F85032" w:rsidRDefault="00C32646">
            <w:pPr>
              <w:spacing w:after="0" w:line="259" w:lineRule="auto"/>
              <w:ind w:left="120" w:firstLine="0"/>
              <w:jc w:val="left"/>
            </w:pPr>
            <w:r>
              <w:t>Tasa de descuento (costes, QALYs)</w:t>
            </w:r>
          </w:p>
        </w:tc>
        <w:tc>
          <w:tcPr>
            <w:tcW w:w="737" w:type="dxa"/>
            <w:tcBorders>
              <w:top w:val="nil"/>
              <w:left w:val="nil"/>
              <w:bottom w:val="single" w:sz="6" w:space="0" w:color="000000"/>
              <w:right w:val="nil"/>
            </w:tcBorders>
          </w:tcPr>
          <w:p w:rsidR="00F85032" w:rsidRDefault="00C32646">
            <w:pPr>
              <w:spacing w:after="0" w:line="259" w:lineRule="auto"/>
              <w:ind w:left="72" w:firstLine="0"/>
              <w:jc w:val="left"/>
            </w:pPr>
            <w:r>
              <w:t>0.03</w:t>
            </w:r>
          </w:p>
        </w:tc>
        <w:tc>
          <w:tcPr>
            <w:tcW w:w="1335" w:type="dxa"/>
            <w:tcBorders>
              <w:top w:val="nil"/>
              <w:left w:val="nil"/>
              <w:bottom w:val="single" w:sz="6" w:space="0" w:color="000000"/>
              <w:right w:val="nil"/>
            </w:tcBorders>
          </w:tcPr>
          <w:p w:rsidR="00F85032" w:rsidRDefault="00C32646">
            <w:pPr>
              <w:spacing w:after="0" w:line="259" w:lineRule="auto"/>
              <w:ind w:left="144" w:firstLine="0"/>
              <w:jc w:val="left"/>
            </w:pPr>
            <w:r>
              <w:t>0.00–0.05</w:t>
            </w:r>
          </w:p>
        </w:tc>
        <w:tc>
          <w:tcPr>
            <w:tcW w:w="1358" w:type="dxa"/>
            <w:tcBorders>
              <w:top w:val="nil"/>
              <w:left w:val="nil"/>
              <w:bottom w:val="single" w:sz="6" w:space="0" w:color="000000"/>
              <w:right w:val="nil"/>
            </w:tcBorders>
          </w:tcPr>
          <w:p w:rsidR="00F85032" w:rsidRDefault="00C32646">
            <w:pPr>
              <w:spacing w:after="0" w:line="259" w:lineRule="auto"/>
              <w:ind w:left="374" w:firstLine="0"/>
              <w:jc w:val="left"/>
            </w:pPr>
            <w:r>
              <w:t>Fixed</w:t>
            </w:r>
          </w:p>
        </w:tc>
      </w:tr>
    </w:tbl>
    <w:p w:rsidR="00F85032" w:rsidRDefault="00C32646">
      <w:pPr>
        <w:spacing w:after="246"/>
        <w:ind w:left="-15" w:right="135"/>
      </w:pPr>
      <w:r>
        <w:t>Estas entradas no pretenden representar estimaciones emp´ıricas finales. M´as bien, abarcan valores plausibles relevantes para la decisi´on y permiten examinar si el marco propuesto permanece cualitativamente estable bajo incertidumbre. En particular, la c</w:t>
      </w:r>
      <w:r>
        <w:t>ola inferior de sensibilidad ULD y la tasa de progresi´on hacia PAVM tratable se var´ıan deliberadamente porque influyen de forma directa en la restricci´on de seguridad.</w:t>
      </w:r>
    </w:p>
    <w:p w:rsidR="00F85032" w:rsidRDefault="00C32646">
      <w:pPr>
        <w:pStyle w:val="Heading3"/>
        <w:ind w:left="685" w:hanging="700"/>
      </w:pPr>
      <w:r>
        <w:t>Disen˜o de la simulaci´on y configuraciones computacionales</w:t>
      </w:r>
    </w:p>
    <w:p w:rsidR="00F85032" w:rsidRDefault="00C32646">
      <w:pPr>
        <w:ind w:left="-15" w:right="135" w:firstLine="0"/>
      </w:pPr>
      <w:r>
        <w:t>Simulamos 200,000 individ</w:t>
      </w:r>
      <w:r>
        <w:t>uos en la cohorte de caso base con entrada a los 10 an˜os de edad, con an´alisis de escenarios para edades de entrada de 5 y 15 an˜os a fin de evaluar el efecto de la edad de entrada sobre la dosis acumulada y el riesgo de eventos a lo largo de la vida. El</w:t>
      </w:r>
      <w:r>
        <w:t xml:space="preserve"> horizonte temporal es de por vida, con ciclos anuales.</w:t>
      </w:r>
    </w:p>
    <w:p w:rsidR="00F85032" w:rsidRDefault="00C32646">
      <w:pPr>
        <w:ind w:left="-15" w:right="135" w:firstLine="0"/>
      </w:pPr>
      <w:r>
        <w:t xml:space="preserve">Las estrategias S1–S5 se evalu´an bajo dos especificaciones de seguridad: </w:t>
      </w:r>
      <w:r>
        <w:rPr>
          <w:i/>
        </w:rPr>
        <w:t>ϵ</w:t>
      </w:r>
      <w:r>
        <w:rPr>
          <w:i/>
        </w:rPr>
        <w:t xml:space="preserve"> </w:t>
      </w:r>
      <w:r>
        <w:t xml:space="preserve">= 1% y </w:t>
      </w:r>
      <w:r>
        <w:rPr>
          <w:i/>
        </w:rPr>
        <w:t>ϵ</w:t>
      </w:r>
      <w:r>
        <w:rPr>
          <w:i/>
        </w:rPr>
        <w:t xml:space="preserve"> </w:t>
      </w:r>
      <w:r>
        <w:t>= 0</w:t>
      </w:r>
      <w:r>
        <w:rPr>
          <w:i/>
        </w:rPr>
        <w:t>.</w:t>
      </w:r>
      <w:r>
        <w:t xml:space="preserve">5% para </w:t>
      </w:r>
      <w:r>
        <w:rPr>
          <w:i/>
        </w:rPr>
        <w:t xml:space="preserve">τ </w:t>
      </w:r>
      <w:r>
        <w:t>= 2 an˜os.</w:t>
      </w:r>
    </w:p>
    <w:p w:rsidR="00F85032" w:rsidRDefault="00C32646">
      <w:pPr>
        <w:ind w:left="-15" w:right="135" w:firstLine="0"/>
      </w:pPr>
      <w:r>
        <w:t>Para cada estrategia calculamos dosis acumulada de radiaci´on, eventos neurol´ogicos atrib</w:t>
      </w:r>
      <w:r>
        <w:t>uibles a PAVM, costes, QALYs e ICERs cuando corresponda.</w:t>
      </w:r>
    </w:p>
    <w:p w:rsidR="00F85032" w:rsidRDefault="00C32646">
      <w:pPr>
        <w:spacing w:after="289"/>
        <w:ind w:left="-15" w:right="135"/>
      </w:pPr>
      <w:r>
        <w:t>Para el PSA, utilizamos 5,000 extracciones de par´ametros con 50,000 individuos por extracci´on para estabilizar estimaciones de valor esperado y probabilidades de cola para la factibilidad de seguri</w:t>
      </w:r>
      <w:r>
        <w:t>dad. Las salidas incluyen medias de resultados, intervalos de incertidumbre, patrones de dominancia entre estrategias, resu´menes de aceptabilidad coste-efectividad y frecuencias de factibilidad para la restricci´on de seguridad. Se emplean an´alisis de to</w:t>
      </w:r>
      <w:r>
        <w:t xml:space="preserve">rnado de una v´ıa y an´alisis de sensibilidad seleccionados de dos v´ıas para identificar interacciones (p.ej., sensibilidad ULD </w:t>
      </w:r>
      <w:r>
        <w:t xml:space="preserve">× </w:t>
      </w:r>
      <w:r>
        <w:t>tasa de progresi´on) que afectan con mayor intensidad la admisibilidad y la clasificaci´on de pol´ıticas.</w:t>
      </w:r>
    </w:p>
    <w:p w:rsidR="00F85032" w:rsidRDefault="00C32646">
      <w:pPr>
        <w:pStyle w:val="Heading2"/>
        <w:ind w:left="598" w:right="135" w:hanging="613"/>
      </w:pPr>
      <w:r>
        <w:t xml:space="preserve">Resultados </w:t>
      </w:r>
      <w:r>
        <w:rPr>
          <w:rFonts w:ascii="Calibri" w:eastAsia="Calibri" w:hAnsi="Calibri" w:cs="Calibri"/>
          <w:b w:val="0"/>
          <w:i/>
        </w:rPr>
        <w:t>in silic</w:t>
      </w:r>
      <w:r>
        <w:rPr>
          <w:rFonts w:ascii="Calibri" w:eastAsia="Calibri" w:hAnsi="Calibri" w:cs="Calibri"/>
          <w:b w:val="0"/>
          <w:i/>
        </w:rPr>
        <w:t>o</w:t>
      </w:r>
    </w:p>
    <w:p w:rsidR="00F85032" w:rsidRDefault="00C32646">
      <w:pPr>
        <w:pStyle w:val="Heading3"/>
        <w:ind w:left="685" w:hanging="700"/>
      </w:pPr>
      <w:r>
        <w:t>Resultados de pol´ıticas en el caso base</w:t>
      </w:r>
    </w:p>
    <w:p w:rsidR="00F85032" w:rsidRDefault="00C32646">
      <w:pPr>
        <w:ind w:left="-15" w:right="135" w:firstLine="0"/>
      </w:pPr>
      <w:r>
        <w:t>La Tabla 2 resume resultados ilustrativos del caso base por 1,000 individuos. Como era esperable a partir de los supuestos de dosis por exploraci´on, las estrategias basadas en ULD reducen sustancialmente la dosis</w:t>
      </w:r>
      <w:r>
        <w:t xml:space="preserve"> acumulada en comparaci´on con la TC est´andar anual de baja dosis (S1), manteniendo resultados neurol´ogicos globalmente similares en el caso base. La TC ULD anual (S2) preserva una prevenci´on de eventos casi equivalente a S1, pero con una dosis acumulad</w:t>
      </w:r>
      <w:r>
        <w:t>a marcadamente menor, reflejando la combinaci´on de una alta sensibilidad asumida y una reducci´on de cinco veces en la dosis por exploraci´on.</w:t>
      </w:r>
    </w:p>
    <w:p w:rsidR="00F85032" w:rsidRDefault="00C32646">
      <w:pPr>
        <w:spacing w:after="374"/>
        <w:ind w:left="-15" w:right="135"/>
      </w:pPr>
      <w:r>
        <w:t>Las estrategias que adem´as reducen la frecuencia de TC o condicionan la TC mediante TTCE (S3 y S4) disminuyen a</w:t>
      </w:r>
      <w:r>
        <w:t xml:space="preserve">u´n m´as la dosis acumulada y el coste, aunque a expensas de un aumento modesto en el nu´mero esperado de eventos neurol´ogicos en la parametrizaci´on ilustrativa. La estrategia ULD ajustada por genotipo/fenotipo (S5) logra la mayor reducci´on de dosis al </w:t>
      </w:r>
      <w:r>
        <w:t>ampliar los intervalos en estratos de menor riesgo tras hallazgos basales negativos, mientras concentra la intensidad de vigilancia en estratos de mayor riesgo. Bajo los supuestos del caso base, S5 conserva resultados de eventos casi equivalentes a las est</w:t>
      </w:r>
      <w:r>
        <w:t xml:space="preserve">rategias de TC anual y produce el menor coste entre las estrategias evaluadas. Este patr´on es consistente con la expectativa te´orica de que la combinaci´on de baja dosis por exploraci´on con modulaci´on de intervalos informada por riesgo puede superar a </w:t>
      </w:r>
      <w:r>
        <w:t>calendarios fijos anuales cuando la sensibilidad diagn´ostica se mantiene alta.</w:t>
      </w:r>
    </w:p>
    <w:p w:rsidR="00F85032" w:rsidRDefault="00C32646">
      <w:pPr>
        <w:spacing w:after="0" w:line="259" w:lineRule="auto"/>
        <w:ind w:left="10" w:right="150" w:hanging="10"/>
        <w:jc w:val="center"/>
      </w:pPr>
      <w:r>
        <w:t xml:space="preserve">Table 2: Resultados del caso base por 1,000 individuos (evaluaci´on </w:t>
      </w:r>
      <w:r>
        <w:rPr>
          <w:i/>
        </w:rPr>
        <w:t>in silico</w:t>
      </w:r>
      <w:r>
        <w:t>).</w:t>
      </w:r>
    </w:p>
    <w:tbl>
      <w:tblPr>
        <w:tblStyle w:val="TableGrid"/>
        <w:tblW w:w="9583" w:type="dxa"/>
        <w:tblInd w:w="55" w:type="dxa"/>
        <w:tblCellMar>
          <w:top w:w="26" w:type="dxa"/>
          <w:left w:w="0" w:type="dxa"/>
          <w:bottom w:w="0" w:type="dxa"/>
          <w:right w:w="99" w:type="dxa"/>
        </w:tblCellMar>
        <w:tblLook w:val="04A0" w:firstRow="1" w:lastRow="0" w:firstColumn="1" w:lastColumn="0" w:noHBand="0" w:noVBand="1"/>
      </w:tblPr>
      <w:tblGrid>
        <w:gridCol w:w="4069"/>
        <w:gridCol w:w="1593"/>
        <w:gridCol w:w="1939"/>
        <w:gridCol w:w="1278"/>
        <w:gridCol w:w="704"/>
      </w:tblGrid>
      <w:tr w:rsidR="00F85032">
        <w:trPr>
          <w:trHeight w:val="284"/>
        </w:trPr>
        <w:tc>
          <w:tcPr>
            <w:tcW w:w="4069" w:type="dxa"/>
            <w:tcBorders>
              <w:top w:val="single" w:sz="5" w:space="0" w:color="000000"/>
              <w:left w:val="nil"/>
              <w:bottom w:val="single" w:sz="3" w:space="0" w:color="000000"/>
              <w:right w:val="nil"/>
            </w:tcBorders>
          </w:tcPr>
          <w:p w:rsidR="00F85032" w:rsidRDefault="00C32646">
            <w:pPr>
              <w:spacing w:after="0" w:line="259" w:lineRule="auto"/>
              <w:ind w:left="99" w:firstLine="0"/>
              <w:jc w:val="left"/>
            </w:pPr>
            <w:r>
              <w:rPr>
                <w:b/>
                <w:sz w:val="17"/>
              </w:rPr>
              <w:t>Estrategia</w:t>
            </w:r>
          </w:p>
        </w:tc>
        <w:tc>
          <w:tcPr>
            <w:tcW w:w="1593" w:type="dxa"/>
            <w:tcBorders>
              <w:top w:val="single" w:sz="5" w:space="0" w:color="000000"/>
              <w:left w:val="nil"/>
              <w:bottom w:val="single" w:sz="3" w:space="0" w:color="000000"/>
              <w:right w:val="nil"/>
            </w:tcBorders>
          </w:tcPr>
          <w:p w:rsidR="00F85032" w:rsidRDefault="00C32646">
            <w:pPr>
              <w:spacing w:after="0" w:line="259" w:lineRule="auto"/>
              <w:ind w:firstLine="0"/>
              <w:jc w:val="left"/>
            </w:pPr>
            <w:r>
              <w:rPr>
                <w:b/>
                <w:sz w:val="17"/>
              </w:rPr>
              <w:t>Dosis acumulada</w:t>
            </w:r>
          </w:p>
        </w:tc>
        <w:tc>
          <w:tcPr>
            <w:tcW w:w="1939" w:type="dxa"/>
            <w:tcBorders>
              <w:top w:val="single" w:sz="5" w:space="0" w:color="000000"/>
              <w:left w:val="nil"/>
              <w:bottom w:val="single" w:sz="3" w:space="0" w:color="000000"/>
              <w:right w:val="nil"/>
            </w:tcBorders>
          </w:tcPr>
          <w:p w:rsidR="00F85032" w:rsidRDefault="00C32646">
            <w:pPr>
              <w:spacing w:after="0" w:line="259" w:lineRule="auto"/>
              <w:ind w:firstLine="0"/>
              <w:jc w:val="left"/>
            </w:pPr>
            <w:r>
              <w:rPr>
                <w:b/>
                <w:sz w:val="17"/>
              </w:rPr>
              <w:t>Eventos neurol´ogicos</w:t>
            </w:r>
          </w:p>
        </w:tc>
        <w:tc>
          <w:tcPr>
            <w:tcW w:w="1278" w:type="dxa"/>
            <w:tcBorders>
              <w:top w:val="single" w:sz="5" w:space="0" w:color="000000"/>
              <w:left w:val="nil"/>
              <w:bottom w:val="single" w:sz="3" w:space="0" w:color="000000"/>
              <w:right w:val="nil"/>
            </w:tcBorders>
          </w:tcPr>
          <w:p w:rsidR="00F85032" w:rsidRDefault="00C32646">
            <w:pPr>
              <w:spacing w:after="0" w:line="259" w:lineRule="auto"/>
              <w:ind w:firstLine="0"/>
              <w:jc w:val="left"/>
            </w:pPr>
            <w:r>
              <w:rPr>
                <w:b/>
                <w:sz w:val="17"/>
              </w:rPr>
              <w:t>Coste (USD)</w:t>
            </w:r>
          </w:p>
        </w:tc>
        <w:tc>
          <w:tcPr>
            <w:tcW w:w="704" w:type="dxa"/>
            <w:tcBorders>
              <w:top w:val="single" w:sz="5" w:space="0" w:color="000000"/>
              <w:left w:val="nil"/>
              <w:bottom w:val="single" w:sz="3" w:space="0" w:color="000000"/>
              <w:right w:val="nil"/>
            </w:tcBorders>
          </w:tcPr>
          <w:p w:rsidR="00F85032" w:rsidRDefault="00C32646">
            <w:pPr>
              <w:spacing w:after="0" w:line="259" w:lineRule="auto"/>
              <w:ind w:firstLine="0"/>
            </w:pPr>
            <w:r>
              <w:rPr>
                <w:b/>
                <w:sz w:val="17"/>
              </w:rPr>
              <w:t>QALYs</w:t>
            </w:r>
          </w:p>
        </w:tc>
      </w:tr>
      <w:tr w:rsidR="00F85032">
        <w:trPr>
          <w:trHeight w:val="248"/>
        </w:trPr>
        <w:tc>
          <w:tcPr>
            <w:tcW w:w="4069" w:type="dxa"/>
            <w:tcBorders>
              <w:top w:val="single" w:sz="3" w:space="0" w:color="000000"/>
              <w:left w:val="nil"/>
              <w:bottom w:val="nil"/>
              <w:right w:val="nil"/>
            </w:tcBorders>
          </w:tcPr>
          <w:p w:rsidR="00F85032" w:rsidRDefault="00C32646">
            <w:pPr>
              <w:spacing w:after="0" w:line="259" w:lineRule="auto"/>
              <w:ind w:left="99" w:firstLine="0"/>
              <w:jc w:val="left"/>
            </w:pPr>
            <w:r>
              <w:rPr>
                <w:sz w:val="17"/>
              </w:rPr>
              <w:t>S1 TC anual de baja dosis</w:t>
            </w:r>
          </w:p>
        </w:tc>
        <w:tc>
          <w:tcPr>
            <w:tcW w:w="1593" w:type="dxa"/>
            <w:tcBorders>
              <w:top w:val="single" w:sz="3" w:space="0" w:color="000000"/>
              <w:left w:val="nil"/>
              <w:bottom w:val="nil"/>
              <w:right w:val="nil"/>
            </w:tcBorders>
          </w:tcPr>
          <w:p w:rsidR="00F85032" w:rsidRDefault="00C32646">
            <w:pPr>
              <w:spacing w:after="0" w:line="259" w:lineRule="auto"/>
              <w:ind w:left="550" w:firstLine="0"/>
              <w:jc w:val="left"/>
            </w:pPr>
            <w:r>
              <w:rPr>
                <w:sz w:val="17"/>
              </w:rPr>
              <w:t>25.0</w:t>
            </w:r>
          </w:p>
        </w:tc>
        <w:tc>
          <w:tcPr>
            <w:tcW w:w="1939" w:type="dxa"/>
            <w:tcBorders>
              <w:top w:val="single" w:sz="3" w:space="0" w:color="000000"/>
              <w:left w:val="nil"/>
              <w:bottom w:val="nil"/>
              <w:right w:val="nil"/>
            </w:tcBorders>
          </w:tcPr>
          <w:p w:rsidR="00F85032" w:rsidRDefault="00C32646">
            <w:pPr>
              <w:spacing w:after="0" w:line="259" w:lineRule="auto"/>
              <w:ind w:right="99" w:firstLine="0"/>
              <w:jc w:val="center"/>
            </w:pPr>
            <w:r>
              <w:rPr>
                <w:sz w:val="17"/>
              </w:rPr>
              <w:t>2.0</w:t>
            </w:r>
          </w:p>
        </w:tc>
        <w:tc>
          <w:tcPr>
            <w:tcW w:w="1278" w:type="dxa"/>
            <w:tcBorders>
              <w:top w:val="single" w:sz="3" w:space="0" w:color="000000"/>
              <w:left w:val="nil"/>
              <w:bottom w:val="nil"/>
              <w:right w:val="nil"/>
            </w:tcBorders>
          </w:tcPr>
          <w:p w:rsidR="00F85032" w:rsidRDefault="00C32646">
            <w:pPr>
              <w:spacing w:after="0" w:line="259" w:lineRule="auto"/>
              <w:ind w:left="333" w:firstLine="0"/>
              <w:jc w:val="left"/>
            </w:pPr>
            <w:r>
              <w:rPr>
                <w:sz w:val="17"/>
              </w:rPr>
              <w:t>42000</w:t>
            </w:r>
          </w:p>
        </w:tc>
        <w:tc>
          <w:tcPr>
            <w:tcW w:w="704" w:type="dxa"/>
            <w:tcBorders>
              <w:top w:val="single" w:sz="3" w:space="0" w:color="000000"/>
              <w:left w:val="nil"/>
              <w:bottom w:val="nil"/>
              <w:right w:val="nil"/>
            </w:tcBorders>
          </w:tcPr>
          <w:p w:rsidR="00F85032" w:rsidRDefault="00C32646">
            <w:pPr>
              <w:spacing w:after="0" w:line="259" w:lineRule="auto"/>
              <w:ind w:left="114" w:firstLine="0"/>
              <w:jc w:val="left"/>
            </w:pPr>
            <w:r>
              <w:rPr>
                <w:sz w:val="17"/>
              </w:rPr>
              <w:t>24.10</w:t>
            </w:r>
          </w:p>
        </w:tc>
      </w:tr>
      <w:tr w:rsidR="00F85032">
        <w:trPr>
          <w:trHeight w:val="199"/>
        </w:trPr>
        <w:tc>
          <w:tcPr>
            <w:tcW w:w="4069" w:type="dxa"/>
            <w:tcBorders>
              <w:top w:val="nil"/>
              <w:left w:val="nil"/>
              <w:bottom w:val="nil"/>
              <w:right w:val="nil"/>
            </w:tcBorders>
          </w:tcPr>
          <w:p w:rsidR="00F85032" w:rsidRDefault="00C32646">
            <w:pPr>
              <w:spacing w:after="0" w:line="259" w:lineRule="auto"/>
              <w:ind w:left="99" w:firstLine="0"/>
              <w:jc w:val="left"/>
            </w:pPr>
            <w:r>
              <w:rPr>
                <w:sz w:val="17"/>
              </w:rPr>
              <w:t>S2 TC ULD anual</w:t>
            </w:r>
          </w:p>
        </w:tc>
        <w:tc>
          <w:tcPr>
            <w:tcW w:w="1593" w:type="dxa"/>
            <w:tcBorders>
              <w:top w:val="nil"/>
              <w:left w:val="nil"/>
              <w:bottom w:val="nil"/>
              <w:right w:val="nil"/>
            </w:tcBorders>
          </w:tcPr>
          <w:p w:rsidR="00F85032" w:rsidRDefault="00C32646">
            <w:pPr>
              <w:spacing w:after="0" w:line="259" w:lineRule="auto"/>
              <w:ind w:left="591" w:firstLine="0"/>
              <w:jc w:val="left"/>
            </w:pPr>
            <w:r>
              <w:rPr>
                <w:sz w:val="17"/>
              </w:rPr>
              <w:t>5.0</w:t>
            </w:r>
          </w:p>
        </w:tc>
        <w:tc>
          <w:tcPr>
            <w:tcW w:w="1939" w:type="dxa"/>
            <w:tcBorders>
              <w:top w:val="nil"/>
              <w:left w:val="nil"/>
              <w:bottom w:val="nil"/>
              <w:right w:val="nil"/>
            </w:tcBorders>
          </w:tcPr>
          <w:p w:rsidR="00F85032" w:rsidRDefault="00C32646">
            <w:pPr>
              <w:spacing w:after="0" w:line="259" w:lineRule="auto"/>
              <w:ind w:right="99" w:firstLine="0"/>
              <w:jc w:val="center"/>
            </w:pPr>
            <w:r>
              <w:rPr>
                <w:sz w:val="17"/>
              </w:rPr>
              <w:t>2.1</w:t>
            </w:r>
          </w:p>
        </w:tc>
        <w:tc>
          <w:tcPr>
            <w:tcW w:w="1278" w:type="dxa"/>
            <w:tcBorders>
              <w:top w:val="nil"/>
              <w:left w:val="nil"/>
              <w:bottom w:val="nil"/>
              <w:right w:val="nil"/>
            </w:tcBorders>
          </w:tcPr>
          <w:p w:rsidR="00F85032" w:rsidRDefault="00C32646">
            <w:pPr>
              <w:spacing w:after="0" w:line="259" w:lineRule="auto"/>
              <w:ind w:left="333" w:firstLine="0"/>
              <w:jc w:val="left"/>
            </w:pPr>
            <w:r>
              <w:rPr>
                <w:sz w:val="17"/>
              </w:rPr>
              <w:t>39500</w:t>
            </w:r>
          </w:p>
        </w:tc>
        <w:tc>
          <w:tcPr>
            <w:tcW w:w="704" w:type="dxa"/>
            <w:tcBorders>
              <w:top w:val="nil"/>
              <w:left w:val="nil"/>
              <w:bottom w:val="nil"/>
              <w:right w:val="nil"/>
            </w:tcBorders>
          </w:tcPr>
          <w:p w:rsidR="00F85032" w:rsidRDefault="00C32646">
            <w:pPr>
              <w:spacing w:after="0" w:line="259" w:lineRule="auto"/>
              <w:ind w:left="114" w:firstLine="0"/>
              <w:jc w:val="left"/>
            </w:pPr>
            <w:r>
              <w:rPr>
                <w:sz w:val="17"/>
              </w:rPr>
              <w:t>24.10</w:t>
            </w:r>
          </w:p>
        </w:tc>
      </w:tr>
      <w:tr w:rsidR="00F85032">
        <w:trPr>
          <w:trHeight w:val="199"/>
        </w:trPr>
        <w:tc>
          <w:tcPr>
            <w:tcW w:w="4069" w:type="dxa"/>
            <w:tcBorders>
              <w:top w:val="nil"/>
              <w:left w:val="nil"/>
              <w:bottom w:val="nil"/>
              <w:right w:val="nil"/>
            </w:tcBorders>
          </w:tcPr>
          <w:p w:rsidR="00F85032" w:rsidRDefault="00C32646">
            <w:pPr>
              <w:spacing w:after="0" w:line="259" w:lineRule="auto"/>
              <w:ind w:left="99" w:firstLine="0"/>
              <w:jc w:val="left"/>
            </w:pPr>
            <w:r>
              <w:rPr>
                <w:sz w:val="17"/>
              </w:rPr>
              <w:t>S3 ULD basal y luego ULD bienal</w:t>
            </w:r>
          </w:p>
        </w:tc>
        <w:tc>
          <w:tcPr>
            <w:tcW w:w="1593" w:type="dxa"/>
            <w:tcBorders>
              <w:top w:val="nil"/>
              <w:left w:val="nil"/>
              <w:bottom w:val="nil"/>
              <w:right w:val="nil"/>
            </w:tcBorders>
          </w:tcPr>
          <w:p w:rsidR="00F85032" w:rsidRDefault="00C32646">
            <w:pPr>
              <w:spacing w:after="0" w:line="259" w:lineRule="auto"/>
              <w:ind w:left="591" w:firstLine="0"/>
              <w:jc w:val="left"/>
            </w:pPr>
            <w:r>
              <w:rPr>
                <w:sz w:val="17"/>
              </w:rPr>
              <w:t>3.2</w:t>
            </w:r>
          </w:p>
        </w:tc>
        <w:tc>
          <w:tcPr>
            <w:tcW w:w="1939" w:type="dxa"/>
            <w:tcBorders>
              <w:top w:val="nil"/>
              <w:left w:val="nil"/>
              <w:bottom w:val="nil"/>
              <w:right w:val="nil"/>
            </w:tcBorders>
          </w:tcPr>
          <w:p w:rsidR="00F85032" w:rsidRDefault="00C32646">
            <w:pPr>
              <w:spacing w:after="0" w:line="259" w:lineRule="auto"/>
              <w:ind w:right="100" w:firstLine="0"/>
              <w:jc w:val="center"/>
            </w:pPr>
            <w:r>
              <w:rPr>
                <w:sz w:val="17"/>
              </w:rPr>
              <w:t>2.2</w:t>
            </w:r>
          </w:p>
        </w:tc>
        <w:tc>
          <w:tcPr>
            <w:tcW w:w="1278" w:type="dxa"/>
            <w:tcBorders>
              <w:top w:val="nil"/>
              <w:left w:val="nil"/>
              <w:bottom w:val="nil"/>
              <w:right w:val="nil"/>
            </w:tcBorders>
          </w:tcPr>
          <w:p w:rsidR="00F85032" w:rsidRDefault="00C32646">
            <w:pPr>
              <w:spacing w:after="0" w:line="259" w:lineRule="auto"/>
              <w:ind w:left="333" w:firstLine="0"/>
              <w:jc w:val="left"/>
            </w:pPr>
            <w:r>
              <w:rPr>
                <w:sz w:val="17"/>
              </w:rPr>
              <w:t>37200</w:t>
            </w:r>
          </w:p>
        </w:tc>
        <w:tc>
          <w:tcPr>
            <w:tcW w:w="704" w:type="dxa"/>
            <w:tcBorders>
              <w:top w:val="nil"/>
              <w:left w:val="nil"/>
              <w:bottom w:val="nil"/>
              <w:right w:val="nil"/>
            </w:tcBorders>
          </w:tcPr>
          <w:p w:rsidR="00F85032" w:rsidRDefault="00C32646">
            <w:pPr>
              <w:spacing w:after="0" w:line="259" w:lineRule="auto"/>
              <w:ind w:left="114" w:firstLine="0"/>
              <w:jc w:val="left"/>
            </w:pPr>
            <w:r>
              <w:rPr>
                <w:sz w:val="17"/>
              </w:rPr>
              <w:t>24.09</w:t>
            </w:r>
          </w:p>
        </w:tc>
      </w:tr>
      <w:tr w:rsidR="00F85032">
        <w:trPr>
          <w:trHeight w:val="199"/>
        </w:trPr>
        <w:tc>
          <w:tcPr>
            <w:tcW w:w="4069" w:type="dxa"/>
            <w:tcBorders>
              <w:top w:val="nil"/>
              <w:left w:val="nil"/>
              <w:bottom w:val="nil"/>
              <w:right w:val="nil"/>
            </w:tcBorders>
          </w:tcPr>
          <w:p w:rsidR="00F85032" w:rsidRDefault="00C32646">
            <w:pPr>
              <w:spacing w:after="0" w:line="259" w:lineRule="auto"/>
              <w:ind w:left="99" w:firstLine="0"/>
              <w:jc w:val="left"/>
            </w:pPr>
            <w:r>
              <w:rPr>
                <w:sz w:val="17"/>
              </w:rPr>
              <w:t>S4 TC guiada por TTCE</w:t>
            </w:r>
          </w:p>
        </w:tc>
        <w:tc>
          <w:tcPr>
            <w:tcW w:w="1593" w:type="dxa"/>
            <w:tcBorders>
              <w:top w:val="nil"/>
              <w:left w:val="nil"/>
              <w:bottom w:val="nil"/>
              <w:right w:val="nil"/>
            </w:tcBorders>
          </w:tcPr>
          <w:p w:rsidR="00F85032" w:rsidRDefault="00C32646">
            <w:pPr>
              <w:spacing w:after="0" w:line="259" w:lineRule="auto"/>
              <w:ind w:left="591" w:firstLine="0"/>
              <w:jc w:val="left"/>
            </w:pPr>
            <w:r>
              <w:rPr>
                <w:sz w:val="17"/>
              </w:rPr>
              <w:t>2.6</w:t>
            </w:r>
          </w:p>
        </w:tc>
        <w:tc>
          <w:tcPr>
            <w:tcW w:w="1939" w:type="dxa"/>
            <w:tcBorders>
              <w:top w:val="nil"/>
              <w:left w:val="nil"/>
              <w:bottom w:val="nil"/>
              <w:right w:val="nil"/>
            </w:tcBorders>
          </w:tcPr>
          <w:p w:rsidR="00F85032" w:rsidRDefault="00C32646">
            <w:pPr>
              <w:spacing w:after="0" w:line="259" w:lineRule="auto"/>
              <w:ind w:right="99" w:firstLine="0"/>
              <w:jc w:val="center"/>
            </w:pPr>
            <w:r>
              <w:rPr>
                <w:sz w:val="17"/>
              </w:rPr>
              <w:t>2.3</w:t>
            </w:r>
          </w:p>
        </w:tc>
        <w:tc>
          <w:tcPr>
            <w:tcW w:w="1278" w:type="dxa"/>
            <w:tcBorders>
              <w:top w:val="nil"/>
              <w:left w:val="nil"/>
              <w:bottom w:val="nil"/>
              <w:right w:val="nil"/>
            </w:tcBorders>
          </w:tcPr>
          <w:p w:rsidR="00F85032" w:rsidRDefault="00C32646">
            <w:pPr>
              <w:spacing w:after="0" w:line="259" w:lineRule="auto"/>
              <w:ind w:left="333" w:firstLine="0"/>
              <w:jc w:val="left"/>
            </w:pPr>
            <w:r>
              <w:rPr>
                <w:sz w:val="17"/>
              </w:rPr>
              <w:t>36000</w:t>
            </w:r>
          </w:p>
        </w:tc>
        <w:tc>
          <w:tcPr>
            <w:tcW w:w="704" w:type="dxa"/>
            <w:tcBorders>
              <w:top w:val="nil"/>
              <w:left w:val="nil"/>
              <w:bottom w:val="nil"/>
              <w:right w:val="nil"/>
            </w:tcBorders>
          </w:tcPr>
          <w:p w:rsidR="00F85032" w:rsidRDefault="00C32646">
            <w:pPr>
              <w:spacing w:after="0" w:line="259" w:lineRule="auto"/>
              <w:ind w:left="114" w:firstLine="0"/>
              <w:jc w:val="left"/>
            </w:pPr>
            <w:r>
              <w:rPr>
                <w:sz w:val="17"/>
              </w:rPr>
              <w:t>24.09</w:t>
            </w:r>
          </w:p>
        </w:tc>
      </w:tr>
      <w:tr w:rsidR="00F85032">
        <w:trPr>
          <w:trHeight w:val="236"/>
        </w:trPr>
        <w:tc>
          <w:tcPr>
            <w:tcW w:w="4069" w:type="dxa"/>
            <w:tcBorders>
              <w:top w:val="nil"/>
              <w:left w:val="nil"/>
              <w:bottom w:val="single" w:sz="5" w:space="0" w:color="000000"/>
              <w:right w:val="nil"/>
            </w:tcBorders>
          </w:tcPr>
          <w:p w:rsidR="00F85032" w:rsidRDefault="00C32646">
            <w:pPr>
              <w:spacing w:after="0" w:line="259" w:lineRule="auto"/>
              <w:ind w:left="99" w:firstLine="0"/>
              <w:jc w:val="left"/>
            </w:pPr>
            <w:r>
              <w:rPr>
                <w:sz w:val="17"/>
              </w:rPr>
              <w:t>S5 ULD estratificada por riesgo (genotipo/fenotipo)</w:t>
            </w:r>
          </w:p>
        </w:tc>
        <w:tc>
          <w:tcPr>
            <w:tcW w:w="1593" w:type="dxa"/>
            <w:tcBorders>
              <w:top w:val="nil"/>
              <w:left w:val="nil"/>
              <w:bottom w:val="single" w:sz="5" w:space="0" w:color="000000"/>
              <w:right w:val="nil"/>
            </w:tcBorders>
          </w:tcPr>
          <w:p w:rsidR="00F85032" w:rsidRDefault="00C32646">
            <w:pPr>
              <w:spacing w:after="0" w:line="259" w:lineRule="auto"/>
              <w:ind w:left="591" w:firstLine="0"/>
              <w:jc w:val="left"/>
            </w:pPr>
            <w:r>
              <w:rPr>
                <w:sz w:val="17"/>
              </w:rPr>
              <w:t>2.0</w:t>
            </w:r>
          </w:p>
        </w:tc>
        <w:tc>
          <w:tcPr>
            <w:tcW w:w="1939" w:type="dxa"/>
            <w:tcBorders>
              <w:top w:val="nil"/>
              <w:left w:val="nil"/>
              <w:bottom w:val="single" w:sz="5" w:space="0" w:color="000000"/>
              <w:right w:val="nil"/>
            </w:tcBorders>
          </w:tcPr>
          <w:p w:rsidR="00F85032" w:rsidRDefault="00C32646">
            <w:pPr>
              <w:spacing w:after="0" w:line="259" w:lineRule="auto"/>
              <w:ind w:right="99" w:firstLine="0"/>
              <w:jc w:val="center"/>
            </w:pPr>
            <w:r>
              <w:rPr>
                <w:sz w:val="17"/>
              </w:rPr>
              <w:t>2.1</w:t>
            </w:r>
          </w:p>
        </w:tc>
        <w:tc>
          <w:tcPr>
            <w:tcW w:w="1278" w:type="dxa"/>
            <w:tcBorders>
              <w:top w:val="nil"/>
              <w:left w:val="nil"/>
              <w:bottom w:val="single" w:sz="5" w:space="0" w:color="000000"/>
              <w:right w:val="nil"/>
            </w:tcBorders>
          </w:tcPr>
          <w:p w:rsidR="00F85032" w:rsidRDefault="00C32646">
            <w:pPr>
              <w:spacing w:after="0" w:line="259" w:lineRule="auto"/>
              <w:ind w:left="333" w:firstLine="0"/>
              <w:jc w:val="left"/>
            </w:pPr>
            <w:r>
              <w:rPr>
                <w:sz w:val="17"/>
              </w:rPr>
              <w:t>35500</w:t>
            </w:r>
          </w:p>
        </w:tc>
        <w:tc>
          <w:tcPr>
            <w:tcW w:w="704" w:type="dxa"/>
            <w:tcBorders>
              <w:top w:val="nil"/>
              <w:left w:val="nil"/>
              <w:bottom w:val="single" w:sz="5" w:space="0" w:color="000000"/>
              <w:right w:val="nil"/>
            </w:tcBorders>
          </w:tcPr>
          <w:p w:rsidR="00F85032" w:rsidRDefault="00C32646">
            <w:pPr>
              <w:spacing w:after="0" w:line="259" w:lineRule="auto"/>
              <w:ind w:left="114" w:firstLine="0"/>
              <w:jc w:val="left"/>
            </w:pPr>
            <w:r>
              <w:rPr>
                <w:sz w:val="17"/>
              </w:rPr>
              <w:t>24.10</w:t>
            </w:r>
          </w:p>
        </w:tc>
      </w:tr>
    </w:tbl>
    <w:p w:rsidR="00F85032" w:rsidRDefault="00C32646">
      <w:pPr>
        <w:spacing w:after="246"/>
        <w:ind w:left="-15" w:right="135"/>
      </w:pPr>
      <w:r>
        <w:t>Las diferencias en QALYs son pequen˜as en este an´alisis ilustrativo, lo cual no resulta sorprendente dada la rareza de los eventos mayores a nivel individual y el largo horizonte temporal en el que pequen˜as diferencias de riesgo se diluyen. Esto refuerza</w:t>
      </w:r>
      <w:r>
        <w:t xml:space="preserve"> la importancia de reportar expl´ıcitamente la factibilidad de la restricci´on de seguridad y el nu´mero de eventos, y no basarse u´nicamente en QALYs para juzgar la adecuaci´on de la vigilancia en este contexto.</w:t>
      </w:r>
    </w:p>
    <w:p w:rsidR="00F85032" w:rsidRDefault="00C32646">
      <w:pPr>
        <w:pStyle w:val="Heading3"/>
        <w:ind w:left="685" w:hanging="700"/>
      </w:pPr>
      <w:r>
        <w:t>Factibilidad de la restricci´on de segurida</w:t>
      </w:r>
      <w:r>
        <w:t>d e interpretaci´on</w:t>
      </w:r>
    </w:p>
    <w:p w:rsidR="00F85032" w:rsidRDefault="00C32646">
      <w:pPr>
        <w:ind w:left="-15" w:right="135" w:firstLine="0"/>
      </w:pPr>
      <w:r>
        <w:t xml:space="preserve">Usando la cota conservadora de la Ec. (8), las estrategias con intervalos extendidos siguen siendo potencialmente factibles cuando el nu´mero efectivo de oportunidades de vigilancia </w:t>
      </w:r>
      <w:r>
        <w:rPr>
          <w:i/>
        </w:rPr>
        <w:t xml:space="preserve">k </w:t>
      </w:r>
      <w:r>
        <w:t>satisface la Ec. (9) para valores plausibles del l´ı</w:t>
      </w:r>
      <w:r>
        <w:t xml:space="preserve">mite inferior de sensibilidad </w:t>
      </w:r>
      <w:r>
        <w:rPr>
          <w:i/>
        </w:rPr>
        <w:t>S</w:t>
      </w:r>
      <w:r>
        <w:t xml:space="preserve">. En la microsimulaci´on completa, S5 satisface la especificaci´on de seguridad </w:t>
      </w:r>
      <w:r>
        <w:rPr>
          <w:i/>
        </w:rPr>
        <w:t>ϵ</w:t>
      </w:r>
      <w:r>
        <w:rPr>
          <w:i/>
        </w:rPr>
        <w:t xml:space="preserve"> </w:t>
      </w:r>
      <w:r>
        <w:t xml:space="preserve">= 1% para </w:t>
      </w:r>
      <w:r>
        <w:rPr>
          <w:i/>
        </w:rPr>
        <w:t xml:space="preserve">τ </w:t>
      </w:r>
      <w:r>
        <w:t>= 2 an˜os en las extracciones del caso base, lo que indica que la ampliaci´on de intervalos estratificada por riesgo puede seguir s</w:t>
      </w:r>
      <w:r>
        <w:t>iendo compatible con una tolerancia estricta de omisi´on cuando los grupos de alto riesgo se monitorizan de manera m´as intensiva y la sensibilidad de la ULD se mantiene alta.</w:t>
      </w:r>
    </w:p>
    <w:p w:rsidR="00F85032" w:rsidRDefault="00C32646">
      <w:pPr>
        <w:spacing w:after="244"/>
        <w:ind w:left="-15" w:right="135"/>
      </w:pPr>
      <w:r>
        <w:t xml:space="preserve">Bajo la especificaci´on m´as estricta </w:t>
      </w:r>
      <w:r>
        <w:rPr>
          <w:i/>
        </w:rPr>
        <w:t>ϵ</w:t>
      </w:r>
      <w:r>
        <w:rPr>
          <w:i/>
        </w:rPr>
        <w:t xml:space="preserve"> </w:t>
      </w:r>
      <w:r>
        <w:t>= 0</w:t>
      </w:r>
      <w:r>
        <w:rPr>
          <w:i/>
        </w:rPr>
        <w:t>.</w:t>
      </w:r>
      <w:r>
        <w:t>5%, la factibilidad se vuelve m´as s</w:t>
      </w:r>
      <w:r>
        <w:t xml:space="preserve">ensible a la incertidumbre de los par´ametros, en particular a la cola inferior de la sensibilidad de la ULD para di´ametro de arteria nutricia </w:t>
      </w:r>
      <w:r>
        <w:t xml:space="preserve">≥ </w:t>
      </w:r>
      <w:r>
        <w:t>2 mm y a la tasa de progresi´on desde lesiones subumbrales a lesiones tratables. Este es un hallazgo pr´actico</w:t>
      </w:r>
      <w:r>
        <w:t xml:space="preserve"> clave para el disen˜o del estudio: acotar estrechamente los intervalos de confianza de la sensibilidad de la ULD en subgrupos cl´ınicamente relevantes puede ser m´as importante que mejoras marginales en las estimaciones de costes para determinar si una po</w:t>
      </w:r>
      <w:r>
        <w:t>l´ıtica puede recomendarse bajo un marco estricto de seguridad primero.</w:t>
      </w:r>
    </w:p>
    <w:p w:rsidR="00F85032" w:rsidRDefault="00C32646">
      <w:pPr>
        <w:pStyle w:val="Heading3"/>
        <w:ind w:left="685" w:hanging="700"/>
      </w:pPr>
      <w:r>
        <w:t>Patrones de coste-efectividad y determinantes de incertidumbre</w:t>
      </w:r>
    </w:p>
    <w:p w:rsidR="00F85032" w:rsidRDefault="00C32646">
      <w:pPr>
        <w:ind w:left="-15" w:right="135" w:firstLine="0"/>
      </w:pPr>
      <w:r>
        <w:t>A lo largo del PSA, las estrategias basadas en ULD dominan con frecuencia a la TC anual de baja dosis (S1), mostrando men</w:t>
      </w:r>
      <w:r>
        <w:t>ores costes esperados y QALYs similares o ligeramente mejores en muchas extracciones, en gran medida debido a una menor carga de imagen con preservaci´on de la prevenci´on de eventos dentro de los rangos asumidos de rendimiento diagn´ostico. Sin embargo, l</w:t>
      </w:r>
      <w:r>
        <w:t xml:space="preserve">a pregunta principal de pol´ıtica sigue siendo una optimizaci´on con restricciones (minimizaci´on de dosis sujeta a seguridad), no una coste-efectividad no restringida. En consecuencia, las estrategias que parecen econ´omicamente atractivas pero incumplen </w:t>
      </w:r>
      <w:r>
        <w:t>la restricci´on de seguridad se excluyen de la consideraci´on como pol´ıticas admisibles.</w:t>
      </w:r>
    </w:p>
    <w:p w:rsidR="00F85032" w:rsidRDefault="00C32646">
      <w:pPr>
        <w:spacing w:after="180"/>
        <w:ind w:left="299" w:right="135" w:firstLine="0"/>
      </w:pPr>
      <w:r>
        <w:t>Los principales determinantes de incertidumbre en la admisibilidad y la clasificaci´on son:</w:t>
      </w:r>
    </w:p>
    <w:p w:rsidR="00F85032" w:rsidRDefault="00C32646">
      <w:pPr>
        <w:numPr>
          <w:ilvl w:val="0"/>
          <w:numId w:val="2"/>
        </w:numPr>
        <w:spacing w:after="174"/>
        <w:ind w:right="135" w:hanging="255"/>
      </w:pPr>
      <w:r>
        <w:rPr>
          <w:b/>
        </w:rPr>
        <w:t xml:space="preserve">Sensibilidad de la ULD para di´ametro de arteria nutricia </w:t>
      </w:r>
      <w:r>
        <w:t xml:space="preserve">≥ </w:t>
      </w:r>
      <w:r>
        <w:t xml:space="preserve">2 </w:t>
      </w:r>
      <w:r>
        <w:rPr>
          <w:b/>
        </w:rPr>
        <w:t>mm</w:t>
      </w:r>
      <w:r>
        <w:t>, especial</w:t>
      </w:r>
      <w:r>
        <w:t>mente en la cola inferior y en subgrupos pedi´atricos afectados por movimiento o pequen˜o taman˜o corporal;</w:t>
      </w:r>
    </w:p>
    <w:p w:rsidR="00F85032" w:rsidRDefault="00C32646">
      <w:pPr>
        <w:numPr>
          <w:ilvl w:val="0"/>
          <w:numId w:val="2"/>
        </w:numPr>
        <w:spacing w:after="174"/>
        <w:ind w:right="135" w:hanging="255"/>
      </w:pPr>
      <w:r>
        <w:rPr>
          <w:b/>
        </w:rPr>
        <w:t>Riesgo de evento neurol´ogico en PAVM tratable no tratada</w:t>
      </w:r>
      <w:r>
        <w:t>, que determina la penalizaci´on cl´ınica del retraso diagn´ostico;</w:t>
      </w:r>
    </w:p>
    <w:p w:rsidR="00F85032" w:rsidRDefault="00C32646">
      <w:pPr>
        <w:numPr>
          <w:ilvl w:val="0"/>
          <w:numId w:val="2"/>
        </w:numPr>
        <w:spacing w:after="150"/>
        <w:ind w:right="135" w:hanging="255"/>
      </w:pPr>
      <w:r>
        <w:rPr>
          <w:b/>
        </w:rPr>
        <w:t xml:space="preserve">Prevalencia/incidencia </w:t>
      </w:r>
      <w:r>
        <w:rPr>
          <w:b/>
        </w:rPr>
        <w:t xml:space="preserve">y din´amica de progresi´on de lesiones tratables </w:t>
      </w:r>
      <w:r>
        <w:t>en el espectro pedi´atrico y joven con HHT, que gobiernan la frecuencia con la que las oportunidades de vigilancia son cl´ınicamente trascendentes.</w:t>
      </w:r>
    </w:p>
    <w:p w:rsidR="00F85032" w:rsidRDefault="00C32646">
      <w:pPr>
        <w:spacing w:after="290"/>
        <w:ind w:left="-15" w:right="135"/>
      </w:pPr>
      <w:r>
        <w:t xml:space="preserve">Contribuyentes secundarios, pero au´n relevantes, incluyen </w:t>
      </w:r>
      <w:r>
        <w:t>las caracter´ısticas operativas de la TTCE (para estrategias guiadas), la efectividad de la embolizaci´on y la distribuci´on de estratos de riesgo basales utilizada en pol´ıticas ajustadas por genotipo/fenotipo. Estos hallazgos informan de manera natural l</w:t>
      </w:r>
      <w:r>
        <w:t xml:space="preserve">a priorizaci´on de evidencia para el estudio prospectivo y el trabajo de validaci´on posterior: mejorar la precisi´on en la estimaci´on pedi´atrica de la sensibilidad ULD y en la caracterizaci´on del riesgo de progresi´on producir´a la mayor reducci´on de </w:t>
      </w:r>
      <w:r>
        <w:t>incertidumbre en pol´ıtica.</w:t>
      </w:r>
    </w:p>
    <w:p w:rsidR="00F85032" w:rsidRDefault="00C32646">
      <w:pPr>
        <w:tabs>
          <w:tab w:val="right" w:pos="9788"/>
        </w:tabs>
        <w:spacing w:after="7" w:line="252" w:lineRule="auto"/>
        <w:ind w:left="-15" w:firstLine="0"/>
        <w:jc w:val="left"/>
      </w:pPr>
      <w:r>
        <w:rPr>
          <w:b/>
          <w:sz w:val="24"/>
        </w:rPr>
        <w:t>3.7</w:t>
      </w:r>
      <w:r>
        <w:rPr>
          <w:b/>
          <w:sz w:val="24"/>
        </w:rPr>
        <w:tab/>
        <w:t>Implicaciones metodolo´gicas para el estudio prospectivo y la traduccio´n a</w:t>
      </w:r>
    </w:p>
    <w:p w:rsidR="00F85032" w:rsidRDefault="00C32646">
      <w:pPr>
        <w:pStyle w:val="Heading1"/>
        <w:numPr>
          <w:ilvl w:val="0"/>
          <w:numId w:val="0"/>
        </w:numPr>
        <w:ind w:left="623" w:right="135"/>
      </w:pPr>
      <w:r>
        <w:t>pol´ıtica</w:t>
      </w:r>
    </w:p>
    <w:p w:rsidR="00F85032" w:rsidRDefault="00C32646">
      <w:pPr>
        <w:ind w:left="-15" w:right="135" w:firstLine="0"/>
      </w:pPr>
      <w:r>
        <w:t xml:space="preserve">Los resultados integrados del an´alisis te´orico y de la evaluaci´on </w:t>
      </w:r>
      <w:r>
        <w:rPr>
          <w:i/>
        </w:rPr>
        <w:t xml:space="preserve">in silico </w:t>
      </w:r>
      <w:r>
        <w:t>proporcionan orientaci´on concreta para la fase emp´ırica. En primer lugar, justifican priorizar el desenlace primario de sensibilidad para PAVM candidatas a embolizaci´on, ya que este par´ametro tiene influencia directa sobre la factibilidad de seguridad.</w:t>
      </w:r>
      <w:r>
        <w:t xml:space="preserve"> En segundo lugar, respaldan la recolecci´on de m´etricas de rendimiento espec´ıficas por subgrupo (edad, taman˜o corporal, carga de movimiento, estado de sedaci´on), dado que la factibilidad de pol´ıtica bajo umbrales estrictos de </w:t>
      </w:r>
      <w:r>
        <w:rPr>
          <w:i/>
        </w:rPr>
        <w:t>ϵ</w:t>
      </w:r>
      <w:r>
        <w:rPr>
          <w:i/>
        </w:rPr>
        <w:t xml:space="preserve"> </w:t>
      </w:r>
      <w:r>
        <w:t>puede depender de la h</w:t>
      </w:r>
      <w:r>
        <w:t>eterogeneidad del rendimiento m´as que de promedios agrupados. En tercer lugar, sugieren que las recomendaciones de vigilancia no deber´ıan reportarse solo como una u´nica estrategia “´optima”, sino como un conjunto de estrategias admisibles con probabilid</w:t>
      </w:r>
      <w:r>
        <w:t>ades de factibilidad bajo incertidumbre param´etrica, permitiendo a cl´ınicos y paneles de gu´ıas escoger pol´ıticas alineadas con la tolerancia local al riesgo y las restricciones de recursos.</w:t>
      </w:r>
    </w:p>
    <w:p w:rsidR="00F85032" w:rsidRDefault="00C32646">
      <w:pPr>
        <w:ind w:left="-15" w:right="135"/>
      </w:pPr>
      <w:r>
        <w:t>En resumen, la metodolog´ıa propuesta combina validaci´on diag</w:t>
      </w:r>
      <w:r>
        <w:t xml:space="preserve">n´ostica prospectiva, modelado mecan´ıstico de decisi´on a largo plazo, cribado anal´ıtico conservador de factibilidad y evaluaci´on </w:t>
      </w:r>
      <w:r>
        <w:rPr>
          <w:i/>
        </w:rPr>
        <w:t xml:space="preserve">in silico </w:t>
      </w:r>
      <w:r>
        <w:t>con consideraci´on expl´ıcita de incertidumbre, con el fin de generar una v´ıa de evidencia cl´ınicamente interpr</w:t>
      </w:r>
      <w:r>
        <w:t>etable y sujeta a seguridad para la vigilancia pedi´atrica y de pacientes j´ovenes con HHT mediante TC tor´acica de dosis ultrabaja.</w:t>
      </w:r>
    </w:p>
    <w:p w:rsidR="00F85032" w:rsidRDefault="00C32646">
      <w:pPr>
        <w:pStyle w:val="Heading1"/>
        <w:spacing w:after="199"/>
        <w:ind w:left="463" w:right="135" w:hanging="478"/>
      </w:pPr>
      <w:r>
        <w:t>Discusi´on</w:t>
      </w:r>
    </w:p>
    <w:p w:rsidR="00F85032" w:rsidRDefault="00C32646">
      <w:pPr>
        <w:ind w:left="-15" w:right="135" w:firstLine="0"/>
      </w:pPr>
      <w:r>
        <w:t xml:space="preserve">El marco propuesto est´a disen˜ado para responder a dos preguntas cl´ınicamente inseparables en la atenci´on de </w:t>
      </w:r>
      <w:r>
        <w:t>la HHT en pacientes pedi´atricos y j´ovenes: en primer lugar, si la TC tor´acica de dosis ultrabaja (ULD) optimizada para poblaci´on pedi´atrica puede mantener una sensibilidad suficientemente alta para malformaciones arteriovenosas pulmonares (PAVM) candi</w:t>
      </w:r>
      <w:r>
        <w:t>datas a embolizaci´on; y, en segundo lugar, c´omo deben estructurarse los calendarios de vigilancia a lo largo de la vida para minimizar la exposici´on acumulada a radiaci´on sin incumplir un requisito estricto de seguridad para la detecci´on oportuna de l</w:t>
      </w:r>
      <w:r>
        <w:t>esiones tratables. Abordar solo una de estas cuestiones es insuficiente para la traducci´on cl´ınica. Un protocolo ULD t´ecnicamente exitoso sin una pol´ıtica de vigilancia validada puede seguir conduciendo a estudios repetidos innecesarios, mientras que u</w:t>
      </w:r>
      <w:r>
        <w:t>n marco de optimizaci´on de intervalos sin evidencia diagn´ostica pedi´atrica corre el riesgo de producir recomendaciones matem´aticamente elegantes pero cl´ınicamente poco fiables. Al vincular un estudio prospectivo pedi´atrico de exactitud diagn´ostica c</w:t>
      </w:r>
      <w:r>
        <w:t>on una microsimulaci´on a lo largo de la vida bajo una restricci´on expl´ıcita de seguridad, el presente marco cierra esta brecha translacional y crea una v´ıa coherente desde la adquisici´on de imagen hasta el apoyo a decisiones a nivel de pol´ıtica.</w:t>
      </w:r>
    </w:p>
    <w:p w:rsidR="00F85032" w:rsidRDefault="00C32646">
      <w:pPr>
        <w:ind w:left="-15" w:right="135"/>
      </w:pPr>
      <w:r>
        <w:t xml:space="preserve">Una </w:t>
      </w:r>
      <w:r>
        <w:t xml:space="preserve">fortaleza central del marco es la priorizaci´on expl´ıcita de la seguridad mediante la restricci´on formal de “no omitir PAVM tratables”. Esto no es simplemente una conveniencia matem´atica; refleja la asimetr´ıa ´etica y cl´ınica que define la vigilancia </w:t>
      </w:r>
      <w:r>
        <w:t>en HHT. La consecuencia potencial del retraso en la detecci´on de una PAVM candidata a embolizaci´on incluye dan˜o neurol´ogico prevenible, mientras que los dan˜os por exceso de vigilancia con TC son probabil´ısticos, acumulativos y de largo plazo. En much</w:t>
      </w:r>
      <w:r>
        <w:t xml:space="preserve">as aplicaciones de econom´ıa de la salud, estos resultados en competencia se combinan en una u´nica funci´on objetivo (p.ej., coste o QALYs), pero dicha agregaci´on puede ocultar pol´ıticas cl´ınicamente inaceptables si dan˜os raros pero graves se diluyen </w:t>
      </w:r>
      <w:r>
        <w:t>en promedios. La formulaci´on con restricciones utilizada aqu´ı, en cambio, impone la seguridad primero y optimiza la dosis de radiaci´on solo entre estrategias admisibles. Esta estructura es especialmente adecuada en pediatr´ıa, donde cl´ınicos y familias</w:t>
      </w:r>
      <w:r>
        <w:t xml:space="preserve"> pueden aceptar razonablemente aumentos modestos en la carga de imagen para preservar una probabilidad muy baja de omitir lesiones tratables, pero pueden mostrarse reacios a aceptar pol´ıticas que reduzcan dosis a costa de m´argenes de seguridad inciertos.</w:t>
      </w:r>
    </w:p>
    <w:p w:rsidR="00F85032" w:rsidRDefault="00C32646">
      <w:pPr>
        <w:ind w:left="-15" w:right="135"/>
      </w:pPr>
      <w:r>
        <w:t>El componente prospectivo de exactitud diagn´ostica tambi´en representa un avance metodol´ogico importante respecto a depender exclusivamente de evidencia de imagen en adultos o de series pedi´atricas retrospectivas. Los retos pr´acticos espec´ıficos de n</w:t>
      </w:r>
      <w:r>
        <w:t xml:space="preserve">in˜os y adolescentes—incluyendo movimiento respiratorio, cooperaci´on variable, anatom´ıa vascular de menor taman˜o, amplia heterogeneidad de taman˜o corporal y potencial necesidad de sedaci´on—pueden alterar materialmente la conspicuidad de la lesi´on y, </w:t>
      </w:r>
      <w:r>
        <w:t>por tanto, la sensibilidad efectiva cerca de los umbrales de tratamiento. Estos factores no son problemas t´ecnicos perif´ericos; es probable que se encuentren entre los determinantes dominantes de si la TC ULD puede incorporarse con seguridad a la vigilan</w:t>
      </w:r>
      <w:r>
        <w:t>cia longitudinal pedi´atrica. Al medir expl´ıcitamente artefactos por movimiento, tasas de sedaci´on, confianza del lector y m´etricas de dosis ajustadas por taman˜o (incluyendo SSDE), el estudio propuesto genera exactamente los par´ametros necesarios para</w:t>
      </w:r>
      <w:r>
        <w:t xml:space="preserve"> el an´alisis de pol´ıtica posterior e identifica subgrupos en los que podr´ıan ser necesarias adaptaciones del protocolo. En este sentido, el estudio diagn´ostico no solo pregunta “¿Funciona la TC ULD?”, sino, m´as importante au´n, “¿Para qui´en, bajo qu´</w:t>
      </w:r>
      <w:r>
        <w:t>e condiciones y con qu´e incertidumbre funciona lo suficientemente bien como para respaldar un cambio de pol´ıtica?”</w:t>
      </w:r>
    </w:p>
    <w:p w:rsidR="00F85032" w:rsidRDefault="00C32646">
      <w:pPr>
        <w:ind w:left="-15" w:right="135"/>
      </w:pPr>
      <w:r>
        <w:t xml:space="preserve">Los hallazgos </w:t>
      </w:r>
      <w:r>
        <w:rPr>
          <w:i/>
        </w:rPr>
        <w:t>in silico</w:t>
      </w:r>
      <w:r>
        <w:t>, aunque ilustrativos, muestran un patr´on consistente y cl´ınicamente significativo de gran relevancia para el desa</w:t>
      </w:r>
      <w:r>
        <w:t>rrollo de gu´ıas. Una vez que la sensibilidad por exploraci´on para PAVM candidatas a embolizaci´on se mantiene alta, la mayor reducci´on adicional de exposici´on acumulada a radiaci´on generalmente se logra no mediante reducciones marginales adicionales d</w:t>
      </w:r>
      <w:r>
        <w:t>e la dosis por exploraci´on, sino mediante la reducci´on segura del nu´mero de exploraciones de TC a lo largo del tiempo. En t´erminos pr´acticos, esto significa que la tecnolog´ıa ULD es necesaria, pero a menudo no suficiente, para obtener el m´aximo bene</w:t>
      </w:r>
      <w:r>
        <w:t>ficio. Las mayores ganancias emergen cuando la TC ULD se combina con disen˜o de intervalos estratificado por riesgo—por ejemplo, ampliando intervalos de vigilancia tras una imagen basal negativa en pacientes de menor riesgo, mientras se preservan intervalo</w:t>
      </w:r>
      <w:r>
        <w:t>s m´as cortos o v´ıas m´as intensivas en estratos de genotipo/fenotipo de mayor riesgo. Este es un hallazgo translacional importante porque desplaza la atenci´on desde la ingenier´ıa del protocolo por s´ı sola hacia la arquitectura de la pol´ıtica de vigil</w:t>
      </w:r>
      <w:r>
        <w:t>ancia. Por ello, futuras actualizaciones de gu´ıas podr´ıan necesitar especificar no solo “c´omo escanear” (par´ametros de dosis y reconstrucci´on), sino tambi´en “cu´ando escanear” y “a qui´en escanear con mayor frecuencia” bajo umbrales expl´ıcitos de se</w:t>
      </w:r>
      <w:r>
        <w:t>guridad.</w:t>
      </w:r>
    </w:p>
    <w:p w:rsidR="00F85032" w:rsidRDefault="00C32646">
      <w:pPr>
        <w:ind w:left="-15" w:right="135"/>
      </w:pPr>
      <w:r>
        <w:t xml:space="preserve">Este marco tambi´en tiene implicaciones para c´omo debe priorizarse la calidad de la evidencia en estudios futuros. Los an´alisis te´oricos y de simulaci´on indican que la factibilidad de una pol´ıtica bajo restricciones estrictas de seguridad es </w:t>
      </w:r>
      <w:r>
        <w:t>m´as sensible a un pequen˜o conjunto de par´ametros, especialmente la cola inferior de sensibilidad de la ULD para umbrales de di´ametro de arteria nutricia relevantes para embolizaci´on, las tasas de progresi´on de PAVM subumbrales a tratables y el riesgo</w:t>
      </w:r>
      <w:r>
        <w:t xml:space="preserve"> de evento neurol´ogico asociado a PAVM tratables no diagnosticadas. Estos par´ametros son m´as influyentes que muchos insumos econ´omicos convencionales para determinar si una estrategia es admisible. En consecuencia, el disen˜o del estudio prospectivo de</w:t>
      </w:r>
      <w:r>
        <w:t>be priorizar estimaciones precisas de sensibilidad en subgrupos pedi´atricos cl´ınicamente dif´ıciles (p.ej., nin˜os pequen˜os, exploraciones propensas al movimiento, pequen˜o h´abito corporal) e incorporar seguimiento estructurado para mejorar las estimac</w:t>
      </w:r>
      <w:r>
        <w:t>iones de progresi´on. Desde una perspectiva de pol´ıtica, esto respalda una estrategia de evidencia de “par´ametros de seguridad primero”: reducir la incertidumbre en los par´ametros que gobiernan la factibilidad es m´as valioso que refinar par´ametros eco</w:t>
      </w:r>
      <w:r>
        <w:t>n´omicos secundarios cuando el objetivo principal es la minimizaci´on segura de dosis.</w:t>
      </w:r>
    </w:p>
    <w:p w:rsidR="00F85032" w:rsidRDefault="00C32646">
      <w:pPr>
        <w:spacing w:after="25"/>
        <w:ind w:left="-15" w:right="135"/>
      </w:pPr>
      <w:r>
        <w:t>Otra contribuci´on destacable es la capacidad del marco para unificar la toma de decisiones en imagen y longitudinal entre actores multidisciplinares. Radi´ologos, inter</w:t>
      </w:r>
      <w:r>
        <w:t>vencionistas, especialistas en HHT y desarrolladores de gu´ıas suelen centrarse en desenlaces distintos: calidad de imagen y conspicuidad de la lesi´on, elegibilidad para embolizaci´on y planificaci´on t´ecnica, prevenci´on de eventos cl´ınicos y uso de re</w:t>
      </w:r>
      <w:r>
        <w:t>cursos a largo plazo, respectivamente. El enfoque propuesto proporciona un lenguaje anal´ıtico comu´n en el que el rendimiento diagn´ostico y las m´etricas de dosis provenientes de radiolog´ıa se vinculan directamente con resultados cl´ınicos y objetivos d</w:t>
      </w:r>
      <w:r>
        <w:t>e pol´ıtica. Esto es especialmente u´til en enfermedades raras como la HHT, donde la experiencia de un solo centro puede ser s´olida pero fragmentada, y donde el consenso multic´entrico requiere integraci´on transparente de evidencia heterog´enea. El uso d</w:t>
      </w:r>
      <w:r>
        <w:t xml:space="preserve">e una restricci´on expl´ıcita de seguridad facilita adem´as la discusi´on entre actores al convertir la tolerancia aceptable de omisi´on en un par´ametro visible y ajustable de pol´ıtica, en lugar de una consecuencia impl´ıcita de elecciones </w:t>
      </w:r>
      <w:r>
        <w:rPr>
          <w:i/>
        </w:rPr>
        <w:t xml:space="preserve">ad hoc </w:t>
      </w:r>
      <w:r>
        <w:t>de inte</w:t>
      </w:r>
      <w:r>
        <w:t>rvalos.</w:t>
      </w:r>
    </w:p>
    <w:p w:rsidR="00F85032" w:rsidRDefault="00C32646">
      <w:pPr>
        <w:ind w:left="-15" w:right="135"/>
      </w:pPr>
      <w:r>
        <w:t xml:space="preserve">Al mismo tiempo, la discusi´on debe reconocer que el patr´on atractivo observado en la evaluaci´on </w:t>
      </w:r>
      <w:r>
        <w:rPr>
          <w:i/>
        </w:rPr>
        <w:t xml:space="preserve">in silico </w:t>
      </w:r>
      <w:r>
        <w:t>no establece por s´ı mismo la superioridad cl´ınica de ninguna estrategia espec´ıfica. La simulaci´on actual est´a parametrizada intenciona</w:t>
      </w:r>
      <w:r>
        <w:t>damente con valores plausibles pero en parte inciertos, y algunos supuestos (p.ej., aproximaciones de independencia condicional en la cota anal´ıtica, estructura simplificada de estados de salud y din´amica de progresi´on estilizada) est´an disen˜ados para</w:t>
      </w:r>
      <w:r>
        <w:t xml:space="preserve"> la interpretabilidad m´as que para un realismo biol´ogico exhaustivo. Por tanto, el prop´osito de estos resultados no es anticipar hallazgos emp´ıricos, sino demostrar que el marco integrado puede producir comparaciones de estrategias cl´ınicamente interp</w:t>
      </w:r>
      <w:r>
        <w:t>retables e identificar los umbrales de evidencia necesarios para una implementaci´on segura. En particular, estrategias que parecen favorables en simulaciones de caso base pueden fallar bajo tolerancias de seguridad m´as estrictas si la sensibilidad real d</w:t>
      </w:r>
      <w:r>
        <w:t>e la ULD pedi´atrica es menor de la prevista en subgrupos espec´ıficos. Esto refuerza la importancia de informar probabilidades de factibilidad e intervalos de incertidumbre, y no solo estimaciones puntuales de reducci´on de dosis o coste-efectividad.</w:t>
      </w:r>
    </w:p>
    <w:p w:rsidR="00F85032" w:rsidRDefault="00C32646">
      <w:pPr>
        <w:ind w:left="-15" w:right="135"/>
      </w:pPr>
      <w:r>
        <w:t>El m</w:t>
      </w:r>
      <w:r>
        <w:t>arco tambi´en tiene relevancia directa para la comunicaci´on cl´ınica y la toma de decisiones compartida con las familias. Las decisiones de vigilancia de HHT en pediatr´ıa suelen implicar conversaciones dif´ıciles sobre carga procedimental inmediata, prue</w:t>
      </w:r>
      <w:r>
        <w:t>bas repetidas y preocupaci´on por la radiaci´on a largo plazo. Un modelo de pol´ıtica basado en rendimiento diagn´ostico pedi´atrico medido prospectivamente permite a los cl´ınicos comunicar opciones de vigilancia de forma m´as estructurada: por ejemplo, e</w:t>
      </w:r>
      <w:r>
        <w:t>xplicando que la ampliaci´on de intervalos se considera solo cuando la probabilidad de omitir una lesi´on tratable permanece por debajo de un umbral de seguridad preespecificado, y que pacientes de mayor riesgo pueden justificadamente someterse a vigilanci</w:t>
      </w:r>
      <w:r>
        <w:t>a m´as frecuente porque su beneficio esperado es mayor. Esto puede mejorar la confianza y la adherencia frente a calendarios uniformes, en particular cuando las familias est´an preocupadas por la exposici´on acumulada a TC pero tambi´en temen complicacione</w:t>
      </w:r>
      <w:r>
        <w:t>s emb´olicas catastr´oficas.</w:t>
      </w:r>
    </w:p>
    <w:p w:rsidR="00F85032" w:rsidRDefault="00C32646">
      <w:pPr>
        <w:spacing w:after="34" w:line="259" w:lineRule="auto"/>
        <w:ind w:left="10" w:right="136" w:hanging="10"/>
        <w:jc w:val="right"/>
      </w:pPr>
      <w:r>
        <w:t>De forma m´as amplia, el enfoque conceptual puede extenderse m´as all´a de la HHT y la vigilancia de PAVM.</w:t>
      </w:r>
    </w:p>
    <w:p w:rsidR="00F85032" w:rsidRDefault="00C32646">
      <w:pPr>
        <w:spacing w:after="328"/>
        <w:ind w:left="-15" w:right="135" w:firstLine="0"/>
      </w:pPr>
      <w:r>
        <w:t>Muchos programas de imagen pedi´atrica y en adultos j´ovenes enfrentan la misma tensi´on fundamental entre vigilancia re</w:t>
      </w:r>
      <w:r>
        <w:t>petida basada en TC y carga de radiaci´on a lo largo de la vida, especialmente cuando el objetivo cl´ınico es evitar complicaciones raras pero graves. La combinaci´on de validaci´on pedi´atrica de protocolos de baja dosis, optimizaci´on expl´ıcita con rest</w:t>
      </w:r>
      <w:r>
        <w:t>ricciones de seguridad y microsimulaci´on a largo horizonte podr´ıa servir, por tanto, como plantilla para otros contextos de vigilancia en los que la tecnolog´ıa de reducci´on de dosis y el disen˜o de pol´ıticas deben desarrollarse conjuntamente y no de f</w:t>
      </w:r>
      <w:r>
        <w:t xml:space="preserve">orma aislada. La lecci´on general es que la innovaci´on en imagen alcanza todo su valor cl´ınico solo cuando se integra en un marco longitudinal de decisi´on que refleje la historia natural de la enfermedad, la heterogeneidad del paciente y prioridades de </w:t>
      </w:r>
      <w:r>
        <w:t>seguridad ´eticamente fundamentadas.</w:t>
      </w:r>
    </w:p>
    <w:p w:rsidR="00F85032" w:rsidRDefault="00C32646">
      <w:pPr>
        <w:pStyle w:val="Heading1"/>
        <w:spacing w:after="199"/>
        <w:ind w:left="463" w:right="135" w:hanging="478"/>
      </w:pPr>
      <w:r>
        <w:t>Conclusi´on y trabajo futuro</w:t>
      </w:r>
    </w:p>
    <w:p w:rsidR="00F85032" w:rsidRDefault="00C32646">
      <w:pPr>
        <w:ind w:left="-15" w:right="135" w:firstLine="0"/>
      </w:pPr>
      <w:r>
        <w:t>Presentamos un programa de investigaci´on completo y factible que combina un estudio prospectivo pedi´atrico de exactitud diagn´ostica de TC tor´acica ULD con un modelo anal´ıtico de decisi´</w:t>
      </w:r>
      <w:r>
        <w:t>on a lo largo de la vida para derivar pol´ıticas de vigilancia en HHT estratificadas por riesgo bajo una restricci´on expl´ıcita de seguridad de “no omitir PAVM tratables”. Si se valida cl´ınicamente, este enfoque puede reducir la exposici´on acumulada a r</w:t>
      </w:r>
      <w:r>
        <w:t>adiaci´on en nin˜os y pacientes j´ovenes preservando al mismo tiempo el objetivo primario de seguridad de prevenir eventos neurol´ogicos atribuibles a PAVM.</w:t>
      </w:r>
    </w:p>
    <w:p w:rsidR="00F85032" w:rsidRDefault="00C32646">
      <w:pPr>
        <w:spacing w:after="298"/>
        <w:ind w:left="-15" w:right="135"/>
      </w:pPr>
      <w:r>
        <w:t>El trabajo futuro incluye: (i) evaluaci´on multi-lector y multi-caso para cuantificar efectos de ex</w:t>
      </w:r>
      <w:r>
        <w:t>periencia y necesidades de entrenamiento; (ii) armonizaci´on de protocolos entre fabricantes y m´etodos de reconstrucci´on; (iii) validaci´on externa de reglas de estratificaci´on por riesgo; y (iv) an´alisis de valor de la informaci´on para priorizar ensa</w:t>
      </w:r>
      <w:r>
        <w:t>yos posteriores aleatorizados o pragm´aticos de implementaci´on.</w:t>
      </w:r>
    </w:p>
    <w:p w:rsidR="00F85032" w:rsidRDefault="00C32646">
      <w:pPr>
        <w:pStyle w:val="Heading1"/>
        <w:numPr>
          <w:ilvl w:val="0"/>
          <w:numId w:val="0"/>
        </w:numPr>
        <w:ind w:left="-5" w:right="135"/>
      </w:pPr>
      <w:r>
        <w:t>Referencias</w:t>
      </w:r>
    </w:p>
    <w:p w:rsidR="00F85032" w:rsidRDefault="00C32646">
      <w:pPr>
        <w:numPr>
          <w:ilvl w:val="0"/>
          <w:numId w:val="3"/>
        </w:numPr>
        <w:spacing w:line="268" w:lineRule="auto"/>
        <w:ind w:right="9" w:hanging="363"/>
        <w:jc w:val="left"/>
      </w:pPr>
      <w:r>
        <w:rPr>
          <w:sz w:val="16"/>
        </w:rPr>
        <w:t xml:space="preserve">Guttmacher AE, Marchuk DA, White RI Jr. Hereditary hemorrhagic telangiectasia. </w:t>
      </w:r>
      <w:r>
        <w:rPr>
          <w:i/>
          <w:sz w:val="16"/>
        </w:rPr>
        <w:t>N Engl J Med</w:t>
      </w:r>
      <w:r>
        <w:rPr>
          <w:sz w:val="16"/>
        </w:rPr>
        <w:t>. 1995;333(14):918–924.</w:t>
      </w:r>
    </w:p>
    <w:p w:rsidR="00F85032" w:rsidRDefault="00C32646">
      <w:pPr>
        <w:numPr>
          <w:ilvl w:val="0"/>
          <w:numId w:val="3"/>
        </w:numPr>
        <w:spacing w:line="268" w:lineRule="auto"/>
        <w:ind w:right="9" w:hanging="363"/>
        <w:jc w:val="left"/>
      </w:pPr>
      <w:r>
        <w:rPr>
          <w:sz w:val="16"/>
        </w:rPr>
        <w:t xml:space="preserve">Shovlin CL, Guttmacher AE, Buscarini E, Faughnan ME, Hyland RH, Westermann CJJ, </w:t>
      </w:r>
      <w:r>
        <w:rPr>
          <w:i/>
          <w:sz w:val="16"/>
        </w:rPr>
        <w:t xml:space="preserve">et al. </w:t>
      </w:r>
      <w:r>
        <w:rPr>
          <w:sz w:val="16"/>
        </w:rPr>
        <w:t xml:space="preserve">Diagnostic criteria for hereditary hemorrhagic telangiectasia (Rendu-Osler-Weber syndrome). </w:t>
      </w:r>
      <w:r>
        <w:rPr>
          <w:i/>
          <w:sz w:val="16"/>
        </w:rPr>
        <w:t>Am J Med Genet</w:t>
      </w:r>
      <w:r>
        <w:rPr>
          <w:sz w:val="16"/>
        </w:rPr>
        <w:t>. 2000;91(1):66–67.</w:t>
      </w:r>
    </w:p>
    <w:p w:rsidR="00F85032" w:rsidRDefault="00C32646">
      <w:pPr>
        <w:numPr>
          <w:ilvl w:val="0"/>
          <w:numId w:val="3"/>
        </w:numPr>
        <w:spacing w:line="268" w:lineRule="auto"/>
        <w:ind w:right="9" w:hanging="363"/>
        <w:jc w:val="left"/>
      </w:pPr>
      <w:r>
        <w:rPr>
          <w:sz w:val="16"/>
        </w:rPr>
        <w:t>Gossage JR, Kanj G. Pulmonary arteriovenous</w:t>
      </w:r>
      <w:r>
        <w:rPr>
          <w:sz w:val="16"/>
        </w:rPr>
        <w:t xml:space="preserve"> malformations: a state of the art review. </w:t>
      </w:r>
      <w:r>
        <w:rPr>
          <w:i/>
          <w:sz w:val="16"/>
        </w:rPr>
        <w:t>Am J Respir Crit Care Med</w:t>
      </w:r>
      <w:r>
        <w:rPr>
          <w:sz w:val="16"/>
        </w:rPr>
        <w:t>.</w:t>
      </w:r>
    </w:p>
    <w:p w:rsidR="00F85032" w:rsidRDefault="00C32646">
      <w:pPr>
        <w:spacing w:line="268" w:lineRule="auto"/>
        <w:ind w:left="363" w:right="9" w:firstLine="0"/>
        <w:jc w:val="left"/>
      </w:pPr>
      <w:r>
        <w:rPr>
          <w:sz w:val="16"/>
        </w:rPr>
        <w:t>1998;158(2):643–661.</w:t>
      </w:r>
    </w:p>
    <w:p w:rsidR="00F85032" w:rsidRDefault="00C32646">
      <w:pPr>
        <w:numPr>
          <w:ilvl w:val="0"/>
          <w:numId w:val="3"/>
        </w:numPr>
        <w:spacing w:line="268" w:lineRule="auto"/>
        <w:ind w:right="9" w:hanging="363"/>
        <w:jc w:val="left"/>
      </w:pPr>
      <w:r>
        <w:rPr>
          <w:sz w:val="16"/>
        </w:rPr>
        <w:t xml:space="preserve">Shovlin CL, Condliffe R, Donaldson JW, Kiely DG, Wort SJ. British Thoracic Society Clinical Statement on Pulmonary Arteriovenous Malformations. </w:t>
      </w:r>
      <w:r>
        <w:rPr>
          <w:i/>
          <w:sz w:val="16"/>
        </w:rPr>
        <w:t>Thorax</w:t>
      </w:r>
      <w:r>
        <w:rPr>
          <w:sz w:val="16"/>
        </w:rPr>
        <w:t>. 2017;72(12):1</w:t>
      </w:r>
      <w:r>
        <w:rPr>
          <w:sz w:val="16"/>
        </w:rPr>
        <w:t>154–1163.</w:t>
      </w:r>
    </w:p>
    <w:p w:rsidR="00F85032" w:rsidRDefault="00C32646">
      <w:pPr>
        <w:numPr>
          <w:ilvl w:val="0"/>
          <w:numId w:val="3"/>
        </w:numPr>
        <w:spacing w:line="268" w:lineRule="auto"/>
        <w:ind w:right="9" w:hanging="363"/>
        <w:jc w:val="left"/>
      </w:pPr>
      <w:r>
        <w:rPr>
          <w:sz w:val="16"/>
        </w:rPr>
        <w:t xml:space="preserve">Faughnan ME, Palda VA, Garcia-Tsao G, Geisthoff UW, McDonald J, Proctor DD, </w:t>
      </w:r>
      <w:r>
        <w:rPr>
          <w:i/>
          <w:sz w:val="16"/>
        </w:rPr>
        <w:t xml:space="preserve">et al. </w:t>
      </w:r>
      <w:r>
        <w:rPr>
          <w:sz w:val="16"/>
        </w:rPr>
        <w:t xml:space="preserve">International guidelines for the diagnosis and management of hereditary haemorrhagic telangiectasia. </w:t>
      </w:r>
      <w:r>
        <w:rPr>
          <w:i/>
          <w:sz w:val="16"/>
        </w:rPr>
        <w:t>J Med Genet</w:t>
      </w:r>
      <w:r>
        <w:rPr>
          <w:sz w:val="16"/>
        </w:rPr>
        <w:t>. 2011;48(2):73–87.</w:t>
      </w:r>
    </w:p>
    <w:p w:rsidR="00F85032" w:rsidRDefault="00C32646">
      <w:pPr>
        <w:numPr>
          <w:ilvl w:val="0"/>
          <w:numId w:val="3"/>
        </w:numPr>
        <w:spacing w:line="268" w:lineRule="auto"/>
        <w:ind w:right="9" w:hanging="363"/>
        <w:jc w:val="left"/>
      </w:pPr>
      <w:r>
        <w:rPr>
          <w:sz w:val="16"/>
        </w:rPr>
        <w:t>Faughnan ME, Mager JJ, Hetts SW</w:t>
      </w:r>
      <w:r>
        <w:rPr>
          <w:sz w:val="16"/>
        </w:rPr>
        <w:t xml:space="preserve">, Palda VA, Lang-Robertson K, Buscarini E, </w:t>
      </w:r>
      <w:r>
        <w:rPr>
          <w:i/>
          <w:sz w:val="16"/>
        </w:rPr>
        <w:t xml:space="preserve">et al. </w:t>
      </w:r>
      <w:r>
        <w:rPr>
          <w:sz w:val="16"/>
        </w:rPr>
        <w:t xml:space="preserve">Second International Guidelines for the Diagnosis and Management of Hereditary Hemorrhagic Telangiectasia. </w:t>
      </w:r>
      <w:r>
        <w:rPr>
          <w:i/>
          <w:sz w:val="16"/>
        </w:rPr>
        <w:t>Ann Intern Med</w:t>
      </w:r>
      <w:r>
        <w:rPr>
          <w:sz w:val="16"/>
        </w:rPr>
        <w:t>. 2020;173(12):989–1001.</w:t>
      </w:r>
    </w:p>
    <w:p w:rsidR="00F85032" w:rsidRDefault="00C32646">
      <w:pPr>
        <w:numPr>
          <w:ilvl w:val="0"/>
          <w:numId w:val="3"/>
        </w:numPr>
        <w:spacing w:line="268" w:lineRule="auto"/>
        <w:ind w:right="9" w:hanging="363"/>
        <w:jc w:val="left"/>
      </w:pPr>
      <w:r>
        <w:rPr>
          <w:sz w:val="16"/>
        </w:rPr>
        <w:t xml:space="preserve">Trerotola SO, Pyeritz RE. PAVM embolization: an update. </w:t>
      </w:r>
      <w:r>
        <w:rPr>
          <w:i/>
          <w:sz w:val="16"/>
        </w:rPr>
        <w:t xml:space="preserve">AJR </w:t>
      </w:r>
      <w:r>
        <w:rPr>
          <w:i/>
          <w:sz w:val="16"/>
        </w:rPr>
        <w:t>Am J Roentgenol</w:t>
      </w:r>
      <w:r>
        <w:rPr>
          <w:sz w:val="16"/>
        </w:rPr>
        <w:t>. 2010;195(4):837–845.</w:t>
      </w:r>
    </w:p>
    <w:p w:rsidR="00F85032" w:rsidRDefault="00C32646">
      <w:pPr>
        <w:numPr>
          <w:ilvl w:val="0"/>
          <w:numId w:val="3"/>
        </w:numPr>
        <w:spacing w:line="268" w:lineRule="auto"/>
        <w:ind w:right="9" w:hanging="363"/>
        <w:jc w:val="left"/>
      </w:pPr>
      <w:r>
        <w:rPr>
          <w:sz w:val="16"/>
        </w:rPr>
        <w:t xml:space="preserve">van Gent MW, Post MC, Snijder RJ, Westermann CJJ, Plokker HWM, Mager JJ. Screening for pulmonary arteriovenous malformations using transthoracic contrast echocardiography: a prospective study. </w:t>
      </w:r>
      <w:r>
        <w:rPr>
          <w:i/>
          <w:sz w:val="16"/>
        </w:rPr>
        <w:t>Eur Respir J</w:t>
      </w:r>
      <w:r>
        <w:rPr>
          <w:sz w:val="16"/>
        </w:rPr>
        <w:t>. 2009;33(1):</w:t>
      </w:r>
      <w:r>
        <w:rPr>
          <w:sz w:val="16"/>
        </w:rPr>
        <w:t>85–91.</w:t>
      </w:r>
    </w:p>
    <w:p w:rsidR="00F85032" w:rsidRDefault="00C32646">
      <w:pPr>
        <w:numPr>
          <w:ilvl w:val="0"/>
          <w:numId w:val="3"/>
        </w:numPr>
        <w:spacing w:line="268" w:lineRule="auto"/>
        <w:ind w:right="9" w:hanging="363"/>
        <w:jc w:val="left"/>
      </w:pPr>
      <w:r>
        <w:rPr>
          <w:sz w:val="16"/>
        </w:rPr>
        <w:t xml:space="preserve">McCollough CH, Primak AN, Braun N, Kofler J, Yu L, Christner J. Strategies for reducing radiation dose in CT. </w:t>
      </w:r>
      <w:r>
        <w:rPr>
          <w:i/>
          <w:sz w:val="16"/>
        </w:rPr>
        <w:t>Radiol Clin North Am</w:t>
      </w:r>
      <w:r>
        <w:rPr>
          <w:sz w:val="16"/>
        </w:rPr>
        <w:t>. 2009;47(1):27–40.</w:t>
      </w:r>
    </w:p>
    <w:p w:rsidR="00F85032" w:rsidRDefault="00C32646">
      <w:pPr>
        <w:numPr>
          <w:ilvl w:val="0"/>
          <w:numId w:val="3"/>
        </w:numPr>
        <w:spacing w:line="268" w:lineRule="auto"/>
        <w:ind w:right="9" w:hanging="363"/>
        <w:jc w:val="left"/>
      </w:pPr>
      <w:r>
        <w:rPr>
          <w:sz w:val="16"/>
        </w:rPr>
        <w:t xml:space="preserve">Macri F, Greffier J, Pereira FR, Mandoul C, </w:t>
      </w:r>
      <w:r>
        <w:rPr>
          <w:i/>
          <w:sz w:val="16"/>
        </w:rPr>
        <w:t xml:space="preserve">et al. </w:t>
      </w:r>
      <w:r>
        <w:rPr>
          <w:sz w:val="16"/>
        </w:rPr>
        <w:t xml:space="preserve">Ultra-low-dose chest CT with iterative reconstruction does not alter anatomical image quality. </w:t>
      </w:r>
      <w:r>
        <w:rPr>
          <w:i/>
          <w:sz w:val="16"/>
        </w:rPr>
        <w:t>Diagn Interv Imaging</w:t>
      </w:r>
      <w:r>
        <w:rPr>
          <w:sz w:val="16"/>
        </w:rPr>
        <w:t>. 2016;97(11):1131–1140.</w:t>
      </w:r>
    </w:p>
    <w:p w:rsidR="00F85032" w:rsidRDefault="00C32646">
      <w:pPr>
        <w:numPr>
          <w:ilvl w:val="0"/>
          <w:numId w:val="3"/>
        </w:numPr>
        <w:spacing w:line="268" w:lineRule="auto"/>
        <w:ind w:right="9" w:hanging="363"/>
        <w:jc w:val="left"/>
      </w:pPr>
      <w:r>
        <w:rPr>
          <w:sz w:val="16"/>
        </w:rPr>
        <w:t xml:space="preserve">Delpon J-E, Greffier J, Lacombe H, </w:t>
      </w:r>
      <w:r>
        <w:rPr>
          <w:i/>
          <w:sz w:val="16"/>
        </w:rPr>
        <w:t xml:space="preserve">et al. </w:t>
      </w:r>
      <w:r>
        <w:rPr>
          <w:sz w:val="16"/>
        </w:rPr>
        <w:t>Ultra-low dose chest CT for the diagnosis of pulmonary arteriovenous malfo</w:t>
      </w:r>
      <w:r>
        <w:rPr>
          <w:sz w:val="16"/>
        </w:rPr>
        <w:t xml:space="preserve">rmation in patients with hereditary hemorrhagic telangiectasia. </w:t>
      </w:r>
      <w:r>
        <w:rPr>
          <w:i/>
          <w:sz w:val="16"/>
        </w:rPr>
        <w:t>Diagn Interv Imaging</w:t>
      </w:r>
      <w:r>
        <w:rPr>
          <w:sz w:val="16"/>
        </w:rPr>
        <w:t>. 2024;105:364–370.</w:t>
      </w:r>
    </w:p>
    <w:p w:rsidR="00F85032" w:rsidRDefault="00C32646">
      <w:pPr>
        <w:numPr>
          <w:ilvl w:val="0"/>
          <w:numId w:val="3"/>
        </w:numPr>
        <w:spacing w:line="268" w:lineRule="auto"/>
        <w:ind w:right="9" w:hanging="363"/>
        <w:jc w:val="left"/>
      </w:pPr>
      <w:r>
        <w:rPr>
          <w:sz w:val="16"/>
        </w:rPr>
        <w:t xml:space="preserve">Brenner DJ, Hall EJ. Computed tomography—an increasing source of radiation exposure. </w:t>
      </w:r>
      <w:r>
        <w:rPr>
          <w:i/>
          <w:sz w:val="16"/>
        </w:rPr>
        <w:t>N Engl J Med</w:t>
      </w:r>
      <w:r>
        <w:rPr>
          <w:sz w:val="16"/>
        </w:rPr>
        <w:t>. 2007;357(22):2277– 2284.</w:t>
      </w:r>
    </w:p>
    <w:p w:rsidR="00F85032" w:rsidRDefault="00C32646">
      <w:pPr>
        <w:numPr>
          <w:ilvl w:val="0"/>
          <w:numId w:val="3"/>
        </w:numPr>
        <w:spacing w:line="268" w:lineRule="auto"/>
        <w:ind w:right="9" w:hanging="363"/>
        <w:jc w:val="left"/>
      </w:pPr>
      <w:r>
        <w:rPr>
          <w:sz w:val="16"/>
        </w:rPr>
        <w:t>Pearce MS, Salotti JA, Littl</w:t>
      </w:r>
      <w:r>
        <w:rPr>
          <w:sz w:val="16"/>
        </w:rPr>
        <w:t xml:space="preserve">e MP, </w:t>
      </w:r>
      <w:r>
        <w:rPr>
          <w:i/>
          <w:sz w:val="16"/>
        </w:rPr>
        <w:t xml:space="preserve">et al. </w:t>
      </w:r>
      <w:r>
        <w:rPr>
          <w:sz w:val="16"/>
        </w:rPr>
        <w:t xml:space="preserve">Radiation exposure from CT scans in childhood and subsequent risk of leukaemia and brain tumours. </w:t>
      </w:r>
      <w:r>
        <w:rPr>
          <w:i/>
          <w:sz w:val="16"/>
        </w:rPr>
        <w:t>Lancet</w:t>
      </w:r>
      <w:r>
        <w:rPr>
          <w:sz w:val="16"/>
        </w:rPr>
        <w:t>. 2012;380(9840):499–505.</w:t>
      </w:r>
    </w:p>
    <w:p w:rsidR="00F85032" w:rsidRDefault="00C32646">
      <w:pPr>
        <w:numPr>
          <w:ilvl w:val="0"/>
          <w:numId w:val="3"/>
        </w:numPr>
        <w:spacing w:line="268" w:lineRule="auto"/>
        <w:ind w:right="9" w:hanging="363"/>
        <w:jc w:val="left"/>
      </w:pPr>
      <w:r>
        <w:rPr>
          <w:sz w:val="16"/>
        </w:rPr>
        <w:t xml:space="preserve">Mathews JD, Forsythe AV, Brady Z, </w:t>
      </w:r>
      <w:r>
        <w:rPr>
          <w:i/>
          <w:sz w:val="16"/>
        </w:rPr>
        <w:t xml:space="preserve">et al. </w:t>
      </w:r>
      <w:r>
        <w:rPr>
          <w:sz w:val="16"/>
        </w:rPr>
        <w:t>Cancer risk in 680,000 people exposed to computed tomography scans in ch</w:t>
      </w:r>
      <w:r>
        <w:rPr>
          <w:sz w:val="16"/>
        </w:rPr>
        <w:t xml:space="preserve">ildhood or adolescence. </w:t>
      </w:r>
      <w:r>
        <w:rPr>
          <w:i/>
          <w:sz w:val="16"/>
        </w:rPr>
        <w:t>BMJ</w:t>
      </w:r>
      <w:r>
        <w:rPr>
          <w:sz w:val="16"/>
        </w:rPr>
        <w:t>. 2013;346:f2360.</w:t>
      </w:r>
    </w:p>
    <w:p w:rsidR="00F85032" w:rsidRDefault="00C32646">
      <w:pPr>
        <w:numPr>
          <w:ilvl w:val="0"/>
          <w:numId w:val="3"/>
        </w:numPr>
        <w:spacing w:line="268" w:lineRule="auto"/>
        <w:ind w:right="9" w:hanging="363"/>
        <w:jc w:val="left"/>
      </w:pPr>
      <w:r>
        <w:rPr>
          <w:sz w:val="16"/>
        </w:rPr>
        <w:t xml:space="preserve">National Research Council. </w:t>
      </w:r>
      <w:r>
        <w:rPr>
          <w:i/>
          <w:sz w:val="16"/>
        </w:rPr>
        <w:t>Health Risks from Exposure to Low Levels of Ionizing Radiation: BEIR VII Phase 2</w:t>
      </w:r>
      <w:r>
        <w:rPr>
          <w:sz w:val="16"/>
        </w:rPr>
        <w:t>. Washington, DC: The National Academies Press; 2006.</w:t>
      </w:r>
    </w:p>
    <w:p w:rsidR="00F85032" w:rsidRDefault="00C32646">
      <w:pPr>
        <w:numPr>
          <w:ilvl w:val="0"/>
          <w:numId w:val="3"/>
        </w:numPr>
        <w:spacing w:line="268" w:lineRule="auto"/>
        <w:ind w:right="9" w:hanging="363"/>
        <w:jc w:val="left"/>
      </w:pPr>
      <w:r>
        <w:rPr>
          <w:sz w:val="16"/>
        </w:rPr>
        <w:t>International Commission on Radiological Protectio</w:t>
      </w:r>
      <w:r>
        <w:rPr>
          <w:sz w:val="16"/>
        </w:rPr>
        <w:t xml:space="preserve">n. The 2007 Recommendations of the International Commission on Radiological Protection (ICRP Publication 103). </w:t>
      </w:r>
      <w:r>
        <w:rPr>
          <w:i/>
          <w:sz w:val="16"/>
        </w:rPr>
        <w:t>Ann ICRP</w:t>
      </w:r>
      <w:r>
        <w:rPr>
          <w:sz w:val="16"/>
        </w:rPr>
        <w:t>. 2007;37(2–4):1–332.</w:t>
      </w:r>
    </w:p>
    <w:p w:rsidR="00F85032" w:rsidRDefault="00C32646">
      <w:pPr>
        <w:numPr>
          <w:ilvl w:val="0"/>
          <w:numId w:val="3"/>
        </w:numPr>
        <w:spacing w:line="268" w:lineRule="auto"/>
        <w:ind w:right="9" w:hanging="363"/>
        <w:jc w:val="left"/>
      </w:pPr>
      <w:r>
        <w:rPr>
          <w:sz w:val="16"/>
        </w:rPr>
        <w:t>International Commission on Radiological Protection. Radiological Protection in Paediatric Diagnostic and Intervent</w:t>
      </w:r>
      <w:r>
        <w:rPr>
          <w:sz w:val="16"/>
        </w:rPr>
        <w:t xml:space="preserve">ional Radiology (ICRP Publication 121). </w:t>
      </w:r>
      <w:r>
        <w:rPr>
          <w:i/>
          <w:sz w:val="16"/>
        </w:rPr>
        <w:t>Ann ICRP</w:t>
      </w:r>
      <w:r>
        <w:rPr>
          <w:sz w:val="16"/>
        </w:rPr>
        <w:t>. 2013;42(2).</w:t>
      </w:r>
    </w:p>
    <w:p w:rsidR="00F85032" w:rsidRDefault="00C32646">
      <w:pPr>
        <w:numPr>
          <w:ilvl w:val="0"/>
          <w:numId w:val="3"/>
        </w:numPr>
        <w:spacing w:after="7" w:line="251" w:lineRule="auto"/>
        <w:ind w:right="9" w:hanging="363"/>
        <w:jc w:val="left"/>
      </w:pPr>
      <w:r>
        <w:rPr>
          <w:sz w:val="16"/>
        </w:rPr>
        <w:t xml:space="preserve">American Association of Physicists in Medicine. </w:t>
      </w:r>
      <w:r>
        <w:rPr>
          <w:i/>
          <w:sz w:val="16"/>
        </w:rPr>
        <w:t>AAPM Report No. 204: Size-Specific Dose Estimates (SSDE) in Pediatric and Adult Body CT Examinations</w:t>
      </w:r>
      <w:r>
        <w:rPr>
          <w:sz w:val="16"/>
        </w:rPr>
        <w:t>. College Park, MD: AAPM; 2011.</w:t>
      </w:r>
    </w:p>
    <w:p w:rsidR="00F85032" w:rsidRDefault="00C32646">
      <w:pPr>
        <w:numPr>
          <w:ilvl w:val="0"/>
          <w:numId w:val="3"/>
        </w:numPr>
        <w:spacing w:line="268" w:lineRule="auto"/>
        <w:ind w:right="9" w:hanging="363"/>
        <w:jc w:val="left"/>
      </w:pPr>
      <w:r>
        <w:rPr>
          <w:sz w:val="16"/>
        </w:rPr>
        <w:t xml:space="preserve">Weinstein MC, </w:t>
      </w:r>
      <w:r>
        <w:rPr>
          <w:sz w:val="16"/>
        </w:rPr>
        <w:t xml:space="preserve">Siegel JE, Gold MR, Kamlet MS, Russell LB. Recommendations of the Panel on Cost-effectiveness in Health and Medicine. </w:t>
      </w:r>
      <w:r>
        <w:rPr>
          <w:i/>
          <w:sz w:val="16"/>
        </w:rPr>
        <w:t>JAMA</w:t>
      </w:r>
      <w:r>
        <w:rPr>
          <w:sz w:val="16"/>
        </w:rPr>
        <w:t>. 1996;276(15):1253–1258.</w:t>
      </w:r>
    </w:p>
    <w:p w:rsidR="00F85032" w:rsidRDefault="00C32646">
      <w:pPr>
        <w:numPr>
          <w:ilvl w:val="0"/>
          <w:numId w:val="3"/>
        </w:numPr>
        <w:spacing w:line="268" w:lineRule="auto"/>
        <w:ind w:right="9" w:hanging="363"/>
        <w:jc w:val="left"/>
      </w:pPr>
      <w:r>
        <w:rPr>
          <w:sz w:val="16"/>
        </w:rPr>
        <w:t xml:space="preserve">Siebert U, Alagoz O, Bayoumi AM, </w:t>
      </w:r>
      <w:r>
        <w:rPr>
          <w:i/>
          <w:sz w:val="16"/>
        </w:rPr>
        <w:t xml:space="preserve">et al. </w:t>
      </w:r>
      <w:r>
        <w:rPr>
          <w:sz w:val="16"/>
        </w:rPr>
        <w:t xml:space="preserve">State-transition modeling: a report of the ISPOR-SMDM Modeling Good Research Practices Task Force. </w:t>
      </w:r>
      <w:r>
        <w:rPr>
          <w:i/>
          <w:sz w:val="16"/>
        </w:rPr>
        <w:t>Value Health</w:t>
      </w:r>
      <w:r>
        <w:rPr>
          <w:sz w:val="16"/>
        </w:rPr>
        <w:t>. 2012;15:812–820.</w:t>
      </w:r>
    </w:p>
    <w:p w:rsidR="00F85032" w:rsidRDefault="00C32646">
      <w:pPr>
        <w:numPr>
          <w:ilvl w:val="0"/>
          <w:numId w:val="3"/>
        </w:numPr>
        <w:spacing w:line="268" w:lineRule="auto"/>
        <w:ind w:right="9" w:hanging="363"/>
        <w:jc w:val="left"/>
      </w:pPr>
      <w:r>
        <w:rPr>
          <w:sz w:val="16"/>
        </w:rPr>
        <w:t xml:space="preserve">Briggs AH, Claxton K, Sculpher MJ. </w:t>
      </w:r>
      <w:r>
        <w:rPr>
          <w:i/>
          <w:sz w:val="16"/>
        </w:rPr>
        <w:t>Decision Modelling for Health Economic Evaluation</w:t>
      </w:r>
      <w:r>
        <w:rPr>
          <w:sz w:val="16"/>
        </w:rPr>
        <w:t>. Oxford: Oxford University Press; 2006.</w:t>
      </w:r>
    </w:p>
    <w:p w:rsidR="00F85032" w:rsidRDefault="00C32646">
      <w:pPr>
        <w:numPr>
          <w:ilvl w:val="0"/>
          <w:numId w:val="3"/>
        </w:numPr>
        <w:spacing w:line="268" w:lineRule="auto"/>
        <w:ind w:right="9" w:hanging="363"/>
        <w:jc w:val="left"/>
      </w:pPr>
      <w:r>
        <w:rPr>
          <w:sz w:val="16"/>
        </w:rPr>
        <w:t>D</w:t>
      </w:r>
      <w:r>
        <w:rPr>
          <w:sz w:val="16"/>
        </w:rPr>
        <w:t xml:space="preserve">rummond MF, Sculpher MJ, Claxton K, Stoddart GL, Torrance GW. </w:t>
      </w:r>
      <w:r>
        <w:rPr>
          <w:i/>
          <w:sz w:val="16"/>
        </w:rPr>
        <w:t>Methods for the Economic Evaluation of Health Care Programmes</w:t>
      </w:r>
      <w:r>
        <w:rPr>
          <w:sz w:val="16"/>
        </w:rPr>
        <w:t>. 4th ed. Oxford: Oxford University Press; 2015.</w:t>
      </w:r>
    </w:p>
    <w:p w:rsidR="00F85032" w:rsidRDefault="00C32646">
      <w:pPr>
        <w:numPr>
          <w:ilvl w:val="0"/>
          <w:numId w:val="3"/>
        </w:numPr>
        <w:spacing w:line="268" w:lineRule="auto"/>
        <w:ind w:right="9" w:hanging="363"/>
        <w:jc w:val="left"/>
      </w:pPr>
      <w:r>
        <w:rPr>
          <w:sz w:val="16"/>
        </w:rPr>
        <w:t xml:space="preserve">Bossuyt PM, Reitsma JB, Bruns DE, </w:t>
      </w:r>
      <w:r>
        <w:rPr>
          <w:i/>
          <w:sz w:val="16"/>
        </w:rPr>
        <w:t xml:space="preserve">et al. </w:t>
      </w:r>
      <w:r>
        <w:rPr>
          <w:sz w:val="16"/>
        </w:rPr>
        <w:t>STARD 2015: An Updated List of Essential It</w:t>
      </w:r>
      <w:r>
        <w:rPr>
          <w:sz w:val="16"/>
        </w:rPr>
        <w:t xml:space="preserve">ems for Reporting Diagnostic Accuracy Studies. </w:t>
      </w:r>
      <w:r>
        <w:rPr>
          <w:i/>
          <w:sz w:val="16"/>
        </w:rPr>
        <w:t>BMJ</w:t>
      </w:r>
      <w:r>
        <w:rPr>
          <w:sz w:val="16"/>
        </w:rPr>
        <w:t>. 2015;351:h5527.</w:t>
      </w:r>
    </w:p>
    <w:sectPr w:rsidR="00F85032">
      <w:footerReference w:type="even" r:id="rId8"/>
      <w:footerReference w:type="default" r:id="rId9"/>
      <w:footerReference w:type="first" r:id="rId10"/>
      <w:pgSz w:w="11906" w:h="16838"/>
      <w:pgMar w:top="1167" w:right="983" w:bottom="1095"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646" w:rsidRDefault="00C32646">
      <w:pPr>
        <w:spacing w:after="0" w:line="240" w:lineRule="auto"/>
      </w:pPr>
      <w:r>
        <w:separator/>
      </w:r>
    </w:p>
  </w:endnote>
  <w:endnote w:type="continuationSeparator" w:id="0">
    <w:p w:rsidR="00C32646" w:rsidRDefault="00C32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032" w:rsidRDefault="00C32646">
    <w:pPr>
      <w:spacing w:after="0" w:line="259" w:lineRule="auto"/>
      <w:ind w:right="150"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032" w:rsidRDefault="00C32646">
    <w:pPr>
      <w:spacing w:after="0" w:line="259" w:lineRule="auto"/>
      <w:ind w:right="150" w:firstLine="0"/>
      <w:jc w:val="center"/>
    </w:pPr>
    <w:r>
      <w:fldChar w:fldCharType="begin"/>
    </w:r>
    <w:r>
      <w:instrText xml:space="preserve"> PAGE   \* MERGEFORMAT </w:instrText>
    </w:r>
    <w:r>
      <w:fldChar w:fldCharType="separate"/>
    </w:r>
    <w:r w:rsidR="00E2203D">
      <w:rPr>
        <w:noProof/>
      </w:rPr>
      <w:t>2</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032" w:rsidRDefault="00F85032">
    <w:pPr>
      <w:spacing w:after="160" w:line="259" w:lineRule="auto"/>
      <w:ind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646" w:rsidRDefault="00C32646">
      <w:pPr>
        <w:spacing w:after="0" w:line="240" w:lineRule="auto"/>
      </w:pPr>
      <w:r>
        <w:separator/>
      </w:r>
    </w:p>
  </w:footnote>
  <w:footnote w:type="continuationSeparator" w:id="0">
    <w:p w:rsidR="00C32646" w:rsidRDefault="00C326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020C5"/>
    <w:multiLevelType w:val="hybridMultilevel"/>
    <w:tmpl w:val="B67C3FCC"/>
    <w:lvl w:ilvl="0" w:tplc="E702D794">
      <w:start w:val="1"/>
      <w:numFmt w:val="decimal"/>
      <w:lvlText w:val="[%1]"/>
      <w:lvlJc w:val="left"/>
      <w:pPr>
        <w:ind w:left="363"/>
      </w:pPr>
      <w:rPr>
        <w:rFonts w:ascii="Cambria" w:eastAsia="Cambria" w:hAnsi="Cambria" w:cs="Cambria"/>
        <w:b w:val="0"/>
        <w:i w:val="0"/>
        <w:strike w:val="0"/>
        <w:dstrike w:val="0"/>
        <w:color w:val="000000"/>
        <w:sz w:val="16"/>
        <w:szCs w:val="16"/>
        <w:u w:val="none" w:color="000000"/>
        <w:bdr w:val="none" w:sz="0" w:space="0" w:color="auto"/>
        <w:shd w:val="clear" w:color="auto" w:fill="auto"/>
        <w:vertAlign w:val="baseline"/>
      </w:rPr>
    </w:lvl>
    <w:lvl w:ilvl="1" w:tplc="027EF4B8">
      <w:start w:val="1"/>
      <w:numFmt w:val="lowerLetter"/>
      <w:lvlText w:val="%2"/>
      <w:lvlJc w:val="left"/>
      <w:pPr>
        <w:ind w:left="1113"/>
      </w:pPr>
      <w:rPr>
        <w:rFonts w:ascii="Cambria" w:eastAsia="Cambria" w:hAnsi="Cambria" w:cs="Cambria"/>
        <w:b w:val="0"/>
        <w:i w:val="0"/>
        <w:strike w:val="0"/>
        <w:dstrike w:val="0"/>
        <w:color w:val="000000"/>
        <w:sz w:val="16"/>
        <w:szCs w:val="16"/>
        <w:u w:val="none" w:color="000000"/>
        <w:bdr w:val="none" w:sz="0" w:space="0" w:color="auto"/>
        <w:shd w:val="clear" w:color="auto" w:fill="auto"/>
        <w:vertAlign w:val="baseline"/>
      </w:rPr>
    </w:lvl>
    <w:lvl w:ilvl="2" w:tplc="CD9EA922">
      <w:start w:val="1"/>
      <w:numFmt w:val="lowerRoman"/>
      <w:lvlText w:val="%3"/>
      <w:lvlJc w:val="left"/>
      <w:pPr>
        <w:ind w:left="1833"/>
      </w:pPr>
      <w:rPr>
        <w:rFonts w:ascii="Cambria" w:eastAsia="Cambria" w:hAnsi="Cambria" w:cs="Cambria"/>
        <w:b w:val="0"/>
        <w:i w:val="0"/>
        <w:strike w:val="0"/>
        <w:dstrike w:val="0"/>
        <w:color w:val="000000"/>
        <w:sz w:val="16"/>
        <w:szCs w:val="16"/>
        <w:u w:val="none" w:color="000000"/>
        <w:bdr w:val="none" w:sz="0" w:space="0" w:color="auto"/>
        <w:shd w:val="clear" w:color="auto" w:fill="auto"/>
        <w:vertAlign w:val="baseline"/>
      </w:rPr>
    </w:lvl>
    <w:lvl w:ilvl="3" w:tplc="2DA8E84C">
      <w:start w:val="1"/>
      <w:numFmt w:val="decimal"/>
      <w:lvlText w:val="%4"/>
      <w:lvlJc w:val="left"/>
      <w:pPr>
        <w:ind w:left="2553"/>
      </w:pPr>
      <w:rPr>
        <w:rFonts w:ascii="Cambria" w:eastAsia="Cambria" w:hAnsi="Cambria" w:cs="Cambria"/>
        <w:b w:val="0"/>
        <w:i w:val="0"/>
        <w:strike w:val="0"/>
        <w:dstrike w:val="0"/>
        <w:color w:val="000000"/>
        <w:sz w:val="16"/>
        <w:szCs w:val="16"/>
        <w:u w:val="none" w:color="000000"/>
        <w:bdr w:val="none" w:sz="0" w:space="0" w:color="auto"/>
        <w:shd w:val="clear" w:color="auto" w:fill="auto"/>
        <w:vertAlign w:val="baseline"/>
      </w:rPr>
    </w:lvl>
    <w:lvl w:ilvl="4" w:tplc="3FBA5472">
      <w:start w:val="1"/>
      <w:numFmt w:val="lowerLetter"/>
      <w:lvlText w:val="%5"/>
      <w:lvlJc w:val="left"/>
      <w:pPr>
        <w:ind w:left="3273"/>
      </w:pPr>
      <w:rPr>
        <w:rFonts w:ascii="Cambria" w:eastAsia="Cambria" w:hAnsi="Cambria" w:cs="Cambria"/>
        <w:b w:val="0"/>
        <w:i w:val="0"/>
        <w:strike w:val="0"/>
        <w:dstrike w:val="0"/>
        <w:color w:val="000000"/>
        <w:sz w:val="16"/>
        <w:szCs w:val="16"/>
        <w:u w:val="none" w:color="000000"/>
        <w:bdr w:val="none" w:sz="0" w:space="0" w:color="auto"/>
        <w:shd w:val="clear" w:color="auto" w:fill="auto"/>
        <w:vertAlign w:val="baseline"/>
      </w:rPr>
    </w:lvl>
    <w:lvl w:ilvl="5" w:tplc="32EA9FE4">
      <w:start w:val="1"/>
      <w:numFmt w:val="lowerRoman"/>
      <w:lvlText w:val="%6"/>
      <w:lvlJc w:val="left"/>
      <w:pPr>
        <w:ind w:left="3993"/>
      </w:pPr>
      <w:rPr>
        <w:rFonts w:ascii="Cambria" w:eastAsia="Cambria" w:hAnsi="Cambria" w:cs="Cambria"/>
        <w:b w:val="0"/>
        <w:i w:val="0"/>
        <w:strike w:val="0"/>
        <w:dstrike w:val="0"/>
        <w:color w:val="000000"/>
        <w:sz w:val="16"/>
        <w:szCs w:val="16"/>
        <w:u w:val="none" w:color="000000"/>
        <w:bdr w:val="none" w:sz="0" w:space="0" w:color="auto"/>
        <w:shd w:val="clear" w:color="auto" w:fill="auto"/>
        <w:vertAlign w:val="baseline"/>
      </w:rPr>
    </w:lvl>
    <w:lvl w:ilvl="6" w:tplc="64E8A5EC">
      <w:start w:val="1"/>
      <w:numFmt w:val="decimal"/>
      <w:lvlText w:val="%7"/>
      <w:lvlJc w:val="left"/>
      <w:pPr>
        <w:ind w:left="4713"/>
      </w:pPr>
      <w:rPr>
        <w:rFonts w:ascii="Cambria" w:eastAsia="Cambria" w:hAnsi="Cambria" w:cs="Cambria"/>
        <w:b w:val="0"/>
        <w:i w:val="0"/>
        <w:strike w:val="0"/>
        <w:dstrike w:val="0"/>
        <w:color w:val="000000"/>
        <w:sz w:val="16"/>
        <w:szCs w:val="16"/>
        <w:u w:val="none" w:color="000000"/>
        <w:bdr w:val="none" w:sz="0" w:space="0" w:color="auto"/>
        <w:shd w:val="clear" w:color="auto" w:fill="auto"/>
        <w:vertAlign w:val="baseline"/>
      </w:rPr>
    </w:lvl>
    <w:lvl w:ilvl="7" w:tplc="F16C5D2A">
      <w:start w:val="1"/>
      <w:numFmt w:val="lowerLetter"/>
      <w:lvlText w:val="%8"/>
      <w:lvlJc w:val="left"/>
      <w:pPr>
        <w:ind w:left="5433"/>
      </w:pPr>
      <w:rPr>
        <w:rFonts w:ascii="Cambria" w:eastAsia="Cambria" w:hAnsi="Cambria" w:cs="Cambria"/>
        <w:b w:val="0"/>
        <w:i w:val="0"/>
        <w:strike w:val="0"/>
        <w:dstrike w:val="0"/>
        <w:color w:val="000000"/>
        <w:sz w:val="16"/>
        <w:szCs w:val="16"/>
        <w:u w:val="none" w:color="000000"/>
        <w:bdr w:val="none" w:sz="0" w:space="0" w:color="auto"/>
        <w:shd w:val="clear" w:color="auto" w:fill="auto"/>
        <w:vertAlign w:val="baseline"/>
      </w:rPr>
    </w:lvl>
    <w:lvl w:ilvl="8" w:tplc="A8648636">
      <w:start w:val="1"/>
      <w:numFmt w:val="lowerRoman"/>
      <w:lvlText w:val="%9"/>
      <w:lvlJc w:val="left"/>
      <w:pPr>
        <w:ind w:left="6153"/>
      </w:pPr>
      <w:rPr>
        <w:rFonts w:ascii="Cambria" w:eastAsia="Cambria" w:hAnsi="Cambria" w:cs="Cambria"/>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273A093B"/>
    <w:multiLevelType w:val="multilevel"/>
    <w:tmpl w:val="95EA99C6"/>
    <w:lvl w:ilvl="0">
      <w:start w:val="1"/>
      <w:numFmt w:val="decimal"/>
      <w:pStyle w:val="Heading1"/>
      <w:lvlText w:val="%1."/>
      <w:lvlJc w:val="left"/>
      <w:pPr>
        <w:ind w:left="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1"/>
      <w:numFmt w:val="decimal"/>
      <w:pStyle w:val="Heading2"/>
      <w:lvlText w:val="%1.%2"/>
      <w:lvlJc w:val="left"/>
      <w:pPr>
        <w:ind w:left="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decimal"/>
      <w:pStyle w:val="Heading3"/>
      <w:lvlText w:val="%1.%2.%3"/>
      <w:lvlJc w:val="left"/>
      <w:pPr>
        <w:ind w:left="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381796D"/>
    <w:multiLevelType w:val="hybridMultilevel"/>
    <w:tmpl w:val="52EC94CC"/>
    <w:lvl w:ilvl="0" w:tplc="C3B22BE2">
      <w:start w:val="1"/>
      <w:numFmt w:val="decimal"/>
      <w:lvlText w:val="%1."/>
      <w:lvlJc w:val="left"/>
      <w:pPr>
        <w:ind w:left="255"/>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0B9476E8">
      <w:start w:val="1"/>
      <w:numFmt w:val="lowerLetter"/>
      <w:lvlText w:val="%2"/>
      <w:lvlJc w:val="left"/>
      <w:pPr>
        <w:ind w:left="10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04BAAB38">
      <w:start w:val="1"/>
      <w:numFmt w:val="lowerRoman"/>
      <w:lvlText w:val="%3"/>
      <w:lvlJc w:val="left"/>
      <w:pPr>
        <w:ind w:left="18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F1BA2300">
      <w:start w:val="1"/>
      <w:numFmt w:val="decimal"/>
      <w:lvlText w:val="%4"/>
      <w:lvlJc w:val="left"/>
      <w:pPr>
        <w:ind w:left="25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43126E16">
      <w:start w:val="1"/>
      <w:numFmt w:val="lowerLetter"/>
      <w:lvlText w:val="%5"/>
      <w:lvlJc w:val="left"/>
      <w:pPr>
        <w:ind w:left="32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AEFC795C">
      <w:start w:val="1"/>
      <w:numFmt w:val="lowerRoman"/>
      <w:lvlText w:val="%6"/>
      <w:lvlJc w:val="left"/>
      <w:pPr>
        <w:ind w:left="39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369EB9E6">
      <w:start w:val="1"/>
      <w:numFmt w:val="decimal"/>
      <w:lvlText w:val="%7"/>
      <w:lvlJc w:val="left"/>
      <w:pPr>
        <w:ind w:left="46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29863DDA">
      <w:start w:val="1"/>
      <w:numFmt w:val="lowerLetter"/>
      <w:lvlText w:val="%8"/>
      <w:lvlJc w:val="left"/>
      <w:pPr>
        <w:ind w:left="54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5A4A58CC">
      <w:start w:val="1"/>
      <w:numFmt w:val="lowerRoman"/>
      <w:lvlText w:val="%9"/>
      <w:lvlJc w:val="left"/>
      <w:pPr>
        <w:ind w:left="61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CA92A68"/>
    <w:multiLevelType w:val="hybridMultilevel"/>
    <w:tmpl w:val="4352F684"/>
    <w:lvl w:ilvl="0" w:tplc="BF5CC63C">
      <w:start w:val="1"/>
      <w:numFmt w:val="decimal"/>
      <w:lvlText w:val="%1."/>
      <w:lvlJc w:val="left"/>
      <w:pPr>
        <w:ind w:left="255"/>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9E0A8A5A">
      <w:start w:val="1"/>
      <w:numFmt w:val="lowerLetter"/>
      <w:lvlText w:val="%2"/>
      <w:lvlJc w:val="left"/>
      <w:pPr>
        <w:ind w:left="10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2F9E192E">
      <w:start w:val="1"/>
      <w:numFmt w:val="lowerRoman"/>
      <w:lvlText w:val="%3"/>
      <w:lvlJc w:val="left"/>
      <w:pPr>
        <w:ind w:left="18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7D745B3A">
      <w:start w:val="1"/>
      <w:numFmt w:val="decimal"/>
      <w:lvlText w:val="%4"/>
      <w:lvlJc w:val="left"/>
      <w:pPr>
        <w:ind w:left="25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57C23C12">
      <w:start w:val="1"/>
      <w:numFmt w:val="lowerLetter"/>
      <w:lvlText w:val="%5"/>
      <w:lvlJc w:val="left"/>
      <w:pPr>
        <w:ind w:left="32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E1DEBDBA">
      <w:start w:val="1"/>
      <w:numFmt w:val="lowerRoman"/>
      <w:lvlText w:val="%6"/>
      <w:lvlJc w:val="left"/>
      <w:pPr>
        <w:ind w:left="39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06900418">
      <w:start w:val="1"/>
      <w:numFmt w:val="decimal"/>
      <w:lvlText w:val="%7"/>
      <w:lvlJc w:val="left"/>
      <w:pPr>
        <w:ind w:left="46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68806838">
      <w:start w:val="1"/>
      <w:numFmt w:val="lowerLetter"/>
      <w:lvlText w:val="%8"/>
      <w:lvlJc w:val="left"/>
      <w:pPr>
        <w:ind w:left="54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CCC6820C">
      <w:start w:val="1"/>
      <w:numFmt w:val="lowerRoman"/>
      <w:lvlText w:val="%9"/>
      <w:lvlJc w:val="left"/>
      <w:pPr>
        <w:ind w:left="61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032"/>
    <w:rsid w:val="00C32646"/>
    <w:rsid w:val="00E2203D"/>
    <w:rsid w:val="00F85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E5BB44-18B5-4CDC-98A8-D9B349D8B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304" w:lineRule="auto"/>
      <w:ind w:firstLine="289"/>
      <w:jc w:val="both"/>
    </w:pPr>
    <w:rPr>
      <w:rFonts w:ascii="Cambria" w:eastAsia="Cambria" w:hAnsi="Cambria" w:cs="Cambria"/>
      <w:color w:val="000000"/>
      <w:sz w:val="20"/>
    </w:rPr>
  </w:style>
  <w:style w:type="paragraph" w:styleId="Heading1">
    <w:name w:val="heading 1"/>
    <w:next w:val="Normal"/>
    <w:link w:val="Heading1Char"/>
    <w:uiPriority w:val="9"/>
    <w:unhideWhenUsed/>
    <w:qFormat/>
    <w:pPr>
      <w:keepNext/>
      <w:keepLines/>
      <w:numPr>
        <w:numId w:val="4"/>
      </w:numPr>
      <w:spacing w:after="134" w:line="252" w:lineRule="auto"/>
      <w:ind w:left="10" w:right="150" w:hanging="10"/>
      <w:jc w:val="both"/>
      <w:outlineLvl w:val="0"/>
    </w:pPr>
    <w:rPr>
      <w:rFonts w:ascii="Cambria" w:eastAsia="Cambria" w:hAnsi="Cambria" w:cs="Cambria"/>
      <w:b/>
      <w:color w:val="000000"/>
      <w:sz w:val="24"/>
    </w:rPr>
  </w:style>
  <w:style w:type="paragraph" w:styleId="Heading2">
    <w:name w:val="heading 2"/>
    <w:next w:val="Normal"/>
    <w:link w:val="Heading2Char"/>
    <w:uiPriority w:val="9"/>
    <w:unhideWhenUsed/>
    <w:qFormat/>
    <w:pPr>
      <w:keepNext/>
      <w:keepLines/>
      <w:numPr>
        <w:ilvl w:val="1"/>
        <w:numId w:val="4"/>
      </w:numPr>
      <w:spacing w:after="134" w:line="252" w:lineRule="auto"/>
      <w:ind w:left="10" w:right="150" w:hanging="10"/>
      <w:jc w:val="both"/>
      <w:outlineLvl w:val="1"/>
    </w:pPr>
    <w:rPr>
      <w:rFonts w:ascii="Cambria" w:eastAsia="Cambria" w:hAnsi="Cambria" w:cs="Cambria"/>
      <w:b/>
      <w:color w:val="000000"/>
      <w:sz w:val="24"/>
    </w:rPr>
  </w:style>
  <w:style w:type="paragraph" w:styleId="Heading3">
    <w:name w:val="heading 3"/>
    <w:next w:val="Normal"/>
    <w:link w:val="Heading3Char"/>
    <w:uiPriority w:val="9"/>
    <w:unhideWhenUsed/>
    <w:qFormat/>
    <w:pPr>
      <w:keepNext/>
      <w:keepLines/>
      <w:numPr>
        <w:ilvl w:val="2"/>
        <w:numId w:val="4"/>
      </w:numPr>
      <w:spacing w:after="172"/>
      <w:ind w:left="10" w:hanging="10"/>
      <w:outlineLvl w:val="2"/>
    </w:pPr>
    <w:rPr>
      <w:rFonts w:ascii="Cambria" w:eastAsia="Cambria" w:hAnsi="Cambria" w:cs="Cambri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mbria" w:eastAsia="Cambria" w:hAnsi="Cambria" w:cs="Cambria"/>
      <w:b/>
      <w:color w:val="000000"/>
      <w:sz w:val="20"/>
    </w:rPr>
  </w:style>
  <w:style w:type="character" w:customStyle="1" w:styleId="Heading1Char">
    <w:name w:val="Heading 1 Char"/>
    <w:link w:val="Heading1"/>
    <w:rPr>
      <w:rFonts w:ascii="Cambria" w:eastAsia="Cambria" w:hAnsi="Cambria" w:cs="Cambria"/>
      <w:b/>
      <w:color w:val="000000"/>
      <w:sz w:val="24"/>
    </w:rPr>
  </w:style>
  <w:style w:type="character" w:customStyle="1" w:styleId="Heading2Char">
    <w:name w:val="Heading 2 Char"/>
    <w:link w:val="Heading2"/>
    <w:rPr>
      <w:rFonts w:ascii="Cambria" w:eastAsia="Cambria" w:hAnsi="Cambria" w:cs="Cambri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11533</Words>
  <Characters>65741</Characters>
  <Application>Microsoft Office Word</Application>
  <DocSecurity>0</DocSecurity>
  <Lines>547</Lines>
  <Paragraphs>154</Paragraphs>
  <ScaleCrop>false</ScaleCrop>
  <Company/>
  <LinksUpToDate>false</LinksUpToDate>
  <CharactersWithSpaces>77120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Peer Polish One</dc:creator>
  <cp:keywords/>
  <cp:lastModifiedBy>Peer Polish One</cp:lastModifiedBy>
  <cp:revision>2</cp:revision>
  <dcterms:created xsi:type="dcterms:W3CDTF">2026-07-07T06:50:00Z</dcterms:created>
  <dcterms:modified xsi:type="dcterms:W3CDTF">2026-07-07T06:50:00Z</dcterms:modified>
</cp:coreProperties>
</file>