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189" w:rsidRDefault="00073C36">
      <w:pPr>
        <w:tabs>
          <w:tab w:val="center" w:pos="7441"/>
        </w:tabs>
        <w:spacing w:after="0" w:line="259" w:lineRule="auto"/>
        <w:ind w:left="0" w:firstLine="0"/>
        <w:jc w:val="left"/>
      </w:pPr>
      <w:bookmarkStart w:id="0" w:name="_GoBack"/>
      <w:bookmarkEnd w:id="0"/>
      <w:r>
        <w:rPr>
          <w:b/>
          <w:sz w:val="16"/>
        </w:rPr>
        <w:t>Imagen Diagn´ostica</w:t>
      </w:r>
      <w:r>
        <w:rPr>
          <w:b/>
          <w:sz w:val="16"/>
        </w:rPr>
        <w:tab/>
      </w:r>
      <w:r>
        <w:rPr>
          <w:i/>
        </w:rPr>
        <w:t xml:space="preserve">Imadi. </w:t>
      </w:r>
      <w:r>
        <w:t xml:space="preserve">2025, </w:t>
      </w:r>
      <w:r>
        <w:rPr>
          <w:b/>
        </w:rPr>
        <w:t>16</w:t>
      </w:r>
      <w:r>
        <w:t>(1), 19–27.</w:t>
      </w:r>
    </w:p>
    <w:p w:rsidR="00363189" w:rsidRDefault="00073C36">
      <w:pPr>
        <w:spacing w:after="3" w:line="259" w:lineRule="auto"/>
        <w:ind w:left="7" w:right="128" w:firstLine="0"/>
        <w:jc w:val="left"/>
      </w:pPr>
      <w:r>
        <w:rPr>
          <w:sz w:val="16"/>
        </w:rPr>
        <w:t>https://imagendiagnostica.org/</w:t>
      </w:r>
    </w:p>
    <w:p w:rsidR="00363189" w:rsidRDefault="00073C36">
      <w:pPr>
        <w:spacing w:after="748" w:line="259" w:lineRule="auto"/>
        <w:ind w:left="8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4102" cy="4559"/>
                <wp:effectExtent l="0" t="0" r="0" b="0"/>
                <wp:docPr id="12900" name="Group 12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4102" cy="4559"/>
                          <a:chOff x="0" y="0"/>
                          <a:chExt cx="1474102" cy="455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4741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4102">
                                <a:moveTo>
                                  <a:pt x="0" y="0"/>
                                </a:moveTo>
                                <a:lnTo>
                                  <a:pt x="1474102" y="0"/>
                                </a:lnTo>
                              </a:path>
                            </a:pathLst>
                          </a:custGeom>
                          <a:ln w="455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00" style="width:116.071pt;height:0.359pt;mso-position-horizontal-relative:char;mso-position-vertical-relative:line" coordsize="14741,45">
                <v:shape id="Shape 8" style="position:absolute;width:14741;height:0;left:0;top:0;" coordsize="1474102,0" path="m0,0l1474102,0">
                  <v:stroke weight="0.35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63189" w:rsidRDefault="00073C36">
      <w:pPr>
        <w:pStyle w:val="Heading1"/>
        <w:numPr>
          <w:ilvl w:val="0"/>
          <w:numId w:val="0"/>
        </w:numPr>
        <w:spacing w:after="245"/>
        <w:ind w:left="17" w:right="157"/>
      </w:pPr>
      <w:r>
        <w:t>Aumento de herramientas con calculadora obligatoria y mapeo de conceptos erro´neos basado en solapamiento para el razonamiento cuantitativo odontolo´gico con modelos de lenguaje de gran taman˜o</w:t>
      </w:r>
    </w:p>
    <w:p w:rsidR="00363189" w:rsidRDefault="00073C36">
      <w:pPr>
        <w:spacing w:after="217"/>
        <w:ind w:left="7" w:right="291" w:firstLine="0"/>
      </w:pPr>
      <w:r>
        <w:t>Jos´e Antonio Rodr´ıguez-Mart´ınez</w:t>
      </w:r>
      <w:r>
        <w:rPr>
          <w:rFonts w:ascii="Calibri" w:eastAsia="Calibri" w:hAnsi="Calibri" w:cs="Calibri"/>
          <w:vertAlign w:val="superscript"/>
        </w:rPr>
        <w:footnoteReference w:id="1"/>
      </w:r>
    </w:p>
    <w:p w:rsidR="00363189" w:rsidRDefault="00073C36">
      <w:pPr>
        <w:spacing w:after="139" w:line="259" w:lineRule="auto"/>
        <w:ind w:left="7" w:right="128" w:firstLine="0"/>
        <w:jc w:val="left"/>
      </w:pPr>
      <w:r>
        <w:rPr>
          <w:sz w:val="16"/>
        </w:rPr>
        <w:t>Radiolog´ıa e Imagen, Hosp</w:t>
      </w:r>
      <w:r>
        <w:rPr>
          <w:sz w:val="16"/>
        </w:rPr>
        <w:t>ital General, SSA, Tlalpan, Ciudad de M´exico, M´exico</w:t>
      </w:r>
    </w:p>
    <w:p w:rsidR="00363189" w:rsidRDefault="00073C36">
      <w:pPr>
        <w:spacing w:after="157" w:line="259" w:lineRule="auto"/>
        <w:ind w:left="0" w:right="284" w:firstLine="0"/>
        <w:jc w:val="center"/>
      </w:pPr>
      <w:r>
        <w:rPr>
          <w:sz w:val="16"/>
        </w:rPr>
        <w:t>(Received: 21 January 2025. Accepted: 09 May 2025. Published online: 30 June 2025.)</w:t>
      </w:r>
    </w:p>
    <w:p w:rsidR="00363189" w:rsidRDefault="00073C36">
      <w:pPr>
        <w:pStyle w:val="Heading2"/>
      </w:pPr>
      <w:r>
        <w:t>Resumen</w:t>
      </w:r>
    </w:p>
    <w:p w:rsidR="00363189" w:rsidRDefault="00073C36">
      <w:pPr>
        <w:spacing w:after="126" w:line="258" w:lineRule="auto"/>
        <w:ind w:left="515" w:right="789" w:hanging="10"/>
      </w:pPr>
      <w:r>
        <w:rPr>
          <w:b/>
          <w:sz w:val="18"/>
        </w:rPr>
        <w:t xml:space="preserve">Antecedentes: </w:t>
      </w:r>
      <w:r>
        <w:rPr>
          <w:sz w:val="18"/>
        </w:rPr>
        <w:t>Los modelos de lenguaje de gran taman˜o (LLMs) han mostrado un rendimiento prometedor en pregun</w:t>
      </w:r>
      <w:r>
        <w:rPr>
          <w:sz w:val="18"/>
        </w:rPr>
        <w:t xml:space="preserve">tas de conocimiento y comprensio´n en odontolog´ıa; sin embargo, los ´ıtems cuantitativos (p. ej., dosificacio´n, conversiones de unidades, estequiometr´ıa, razones/ppm y mezcla de materiales) siguen siendo una debilidad constante y un posible riesgo para </w:t>
      </w:r>
      <w:r>
        <w:rPr>
          <w:sz w:val="18"/>
        </w:rPr>
        <w:t xml:space="preserve">la seguridad. Adema´s, distintas versiones del modelo suelen compartir las mismas respuestas incorrectas, lo que sugiere modos de error estructurados, similares a conceptos erro´neos, en lugar de fallos puramente aleatorios. </w:t>
      </w:r>
      <w:r>
        <w:rPr>
          <w:b/>
          <w:sz w:val="18"/>
        </w:rPr>
        <w:t xml:space="preserve">M´etodos: </w:t>
      </w:r>
      <w:r>
        <w:rPr>
          <w:sz w:val="18"/>
        </w:rPr>
        <w:t>Proponemos un marco r</w:t>
      </w:r>
      <w:r>
        <w:rPr>
          <w:sz w:val="18"/>
        </w:rPr>
        <w:t xml:space="preserve">eproducible centrado en un benchmark seguro en t´erminos de derechos de autor </w:t>
      </w:r>
      <w:r>
        <w:rPr>
          <w:i/>
          <w:sz w:val="18"/>
        </w:rPr>
        <w:t>D</w:t>
      </w:r>
      <w:r>
        <w:rPr>
          <w:i/>
          <w:sz w:val="18"/>
          <w:vertAlign w:val="subscript"/>
        </w:rPr>
        <w:t xml:space="preserve">q </w:t>
      </w:r>
      <w:r>
        <w:rPr>
          <w:sz w:val="18"/>
        </w:rPr>
        <w:t>y tres sistemas: un LLM base M, un sistema aumentado con herramientas y uso obligatorio de calculadora M+Calc que debe invocar una calculadora/solucionador simb´olico para cad</w:t>
      </w:r>
      <w:r>
        <w:rPr>
          <w:sz w:val="18"/>
        </w:rPr>
        <w:t xml:space="preserve">a subpaso num´erico, y M+Calc+Remed, que ampl´ıa M+Calc con diagn´osticos de error informados por solapamiento para construir un “mapa de conceptos erro´neos en odontolog´ıa” y activar listas de verificacio´n de validacio´n dirigidas. Definimos exactitud, </w:t>
      </w:r>
      <w:r>
        <w:rPr>
          <w:sz w:val="18"/>
        </w:rPr>
        <w:t xml:space="preserve">fiabilidad num´erica (valor+unidades) y reduccio´n por tipo de error, y describimos pruebas inferenciales mediante bootstrap pareado/pruebas de McNemar y calibracio´n con teor´ıa de respuesta al ´ıtem (IRT). </w:t>
      </w:r>
      <w:r>
        <w:rPr>
          <w:b/>
          <w:sz w:val="18"/>
        </w:rPr>
        <w:t xml:space="preserve">Resultados: </w:t>
      </w:r>
      <w:r>
        <w:rPr>
          <w:sz w:val="18"/>
        </w:rPr>
        <w:t>Mediante un estudio de simulacio´n M</w:t>
      </w:r>
      <w:r>
        <w:rPr>
          <w:sz w:val="18"/>
        </w:rPr>
        <w:t xml:space="preserve">onte Carlo transparente para ilustrar la tuber´ıa de ana´lisis, la obligatoriedad del uso de calculadora mejora la exactitud global de 73.7% a 82.0% y reduce los errores de ejecuci´on de 11.1% a 3.6%; an˜adir remediaci´on basada en solapamiento incrementa </w:t>
      </w:r>
      <w:r>
        <w:rPr>
          <w:sz w:val="18"/>
        </w:rPr>
        <w:t xml:space="preserve">la exactitud a 85.4% y disminuye los errores conceptuales a 7.6%. </w:t>
      </w:r>
      <w:r>
        <w:rPr>
          <w:b/>
          <w:sz w:val="18"/>
        </w:rPr>
        <w:t xml:space="preserve">Conclusiones: </w:t>
      </w:r>
      <w:r>
        <w:rPr>
          <w:sz w:val="18"/>
        </w:rPr>
        <w:t>La metodolog´ıa propuesta separa los fallos conceptuales de los fallos de ejecucio´n, proporciona un procedimiento accionable para mapear conceptos erro´neos y motiva una evalu</w:t>
      </w:r>
      <w:r>
        <w:rPr>
          <w:sz w:val="18"/>
        </w:rPr>
        <w:t>acio´n emp´ırica con´ıtems cuantitativos odontolo´gicos de autor´ıa abierta para posibilitar una tutor´ıa con IA m´as segura y una instruccio´n cuantitativa mejor dirigida.</w:t>
      </w:r>
    </w:p>
    <w:p w:rsidR="00363189" w:rsidRDefault="00073C36">
      <w:pPr>
        <w:spacing w:after="390" w:line="258" w:lineRule="auto"/>
        <w:ind w:left="515" w:right="789" w:hanging="10"/>
      </w:pPr>
      <w:r>
        <w:rPr>
          <w:b/>
          <w:sz w:val="18"/>
        </w:rPr>
        <w:t xml:space="preserve">Palabras clave: </w:t>
      </w:r>
      <w:r>
        <w:rPr>
          <w:sz w:val="18"/>
        </w:rPr>
        <w:t>educacio´n odontolo´gica; modelos de lenguaje de gran taman˜o; razonamiento cuantitativo; herramientas de ca´lculo; conversio´n de unidades; estequiometr´ıa; teor´ıa de respuesta al ´ıtem; taxonom´ıa de errores; mapeo de conceptos err´oneos; seguridad en I</w:t>
      </w:r>
      <w:r>
        <w:rPr>
          <w:sz w:val="18"/>
        </w:rPr>
        <w:t>A</w:t>
      </w:r>
    </w:p>
    <w:p w:rsidR="00363189" w:rsidRDefault="00073C36">
      <w:pPr>
        <w:pStyle w:val="Heading1"/>
        <w:ind w:left="485" w:right="157" w:hanging="478"/>
      </w:pPr>
      <w:r>
        <w:t>Introduccio´n</w:t>
      </w:r>
    </w:p>
    <w:p w:rsidR="00363189" w:rsidRDefault="00073C36">
      <w:pPr>
        <w:ind w:left="7" w:right="291" w:firstLine="22"/>
      </w:pPr>
      <w:r>
        <w:t>El razonamiento cuantitativo en odontolog´ıa abarca la dosificaci´on de medicamentos y c´alculos de concentraci´on, verificaciones de dosis m´axima de anest´esicos locales, reg´ımenes de fluoruro (p. ej., ppm), proporciones de materiales (p</w:t>
      </w:r>
      <w:r>
        <w:t>. ej., relaciones polvo–l´ıquido) y qu´ımica b´asica/estequiometr´ıa relevantes para la ciencia biom´edica y de materiales dentales. Estos c´alculos aparecen con frecuencia en los planes de estudio precl´ınicos y en evaluaciones estandarizadas de admisi´on</w:t>
      </w:r>
      <w:r>
        <w:t>/licenciamiento. Estudios recientes han informado que los LLMs pueden tener un rendimiento s´olido en preguntas de conocimiento y comprensi´on, mientras muestran menor exactitud en ´ıtems de an´alisis matem´atico y presentan alucinaciones o inestabilidad b</w:t>
      </w:r>
      <w:r>
        <w:t>ajo distintas estrategias de prompting [1,5,6]. En contextos cr´ıticos para la seguridad, un modelo que “suena confiado” pero maneja mal conversiones de unidades o aritm´etica de dosificaci´on puede resultar perjudicial.</w:t>
      </w:r>
    </w:p>
    <w:p w:rsidR="00363189" w:rsidRDefault="00073C36">
      <w:pPr>
        <w:ind w:left="7" w:right="291"/>
      </w:pPr>
      <w:r>
        <w:t>Este manuscrito propone un programa</w:t>
      </w:r>
      <w:r>
        <w:t xml:space="preserve"> de investigaci´on completo para (i) </w:t>
      </w:r>
      <w:r>
        <w:rPr>
          <w:i/>
        </w:rPr>
        <w:t xml:space="preserve">corregir </w:t>
      </w:r>
      <w:r>
        <w:t xml:space="preserve">debilidades cuantitativas mediante aumento de herramientas con uso obligatorio de calculadora y (ii) </w:t>
      </w:r>
      <w:r>
        <w:rPr>
          <w:i/>
        </w:rPr>
        <w:t xml:space="preserve">diagnosticar </w:t>
      </w:r>
      <w:r>
        <w:t>errores residuales usando solapamiento entre modelos para derivar conglomerados tipo concepto er</w:t>
      </w:r>
      <w:r>
        <w:t xml:space="preserve">r´oneo. La idea clave es que </w:t>
      </w:r>
      <w:r>
        <w:lastRenderedPageBreak/>
        <w:t>muchos fallos cuantitativos son errores de ejecuci´on (deslices aritm´eticos, manejo incorrecto de unidades, aplicaci´on err´onea de f´ormulas) m´as que ausencia de conocimiento conceptual. El aumento con herramientas puede red</w:t>
      </w:r>
      <w:r>
        <w:t>ucir errores de ejecuci´on, mientras que los diagn´osticos basados en solapamiento pueden identificar vac´ıos conceptuales persistentes que permanecen incluso cuando el c´alculo es correcto.</w:t>
      </w:r>
    </w:p>
    <w:p w:rsidR="00363189" w:rsidRDefault="00073C36">
      <w:pPr>
        <w:spacing w:after="218" w:line="259" w:lineRule="auto"/>
        <w:ind w:left="40" w:hanging="10"/>
        <w:jc w:val="left"/>
      </w:pPr>
      <w:r>
        <w:rPr>
          <w:b/>
        </w:rPr>
        <w:t>Contribuciones.</w:t>
      </w:r>
    </w:p>
    <w:p w:rsidR="00363189" w:rsidRDefault="00073C36">
      <w:pPr>
        <w:numPr>
          <w:ilvl w:val="0"/>
          <w:numId w:val="1"/>
        </w:numPr>
        <w:spacing w:after="171"/>
        <w:ind w:left="521" w:right="291" w:hanging="255"/>
      </w:pPr>
      <w:r>
        <w:t xml:space="preserve">Definimos un disen˜o de benchmark y un protocolo </w:t>
      </w:r>
      <w:r>
        <w:t xml:space="preserve">de evaluaci´on para un conjunto de datos de odontolog´ıa cuantitativa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, elaborado y revisado para ser seguro en t´erminos de derechos de autor y cl´ınicamente significativo.</w:t>
      </w:r>
    </w:p>
    <w:p w:rsidR="00363189" w:rsidRDefault="00073C36">
      <w:pPr>
        <w:numPr>
          <w:ilvl w:val="0"/>
          <w:numId w:val="1"/>
        </w:numPr>
        <w:spacing w:after="174"/>
        <w:ind w:left="521" w:right="291" w:hanging="255"/>
      </w:pPr>
      <w:r>
        <w:t>Formalizamos tres sistemas—</w:t>
      </w:r>
      <w:r>
        <w:t>M</w:t>
      </w:r>
      <w:r>
        <w:t xml:space="preserve">, </w:t>
      </w:r>
      <w:r>
        <w:t>M</w:t>
      </w:r>
      <w:r>
        <w:t xml:space="preserve">+Calc y </w:t>
      </w:r>
      <w:r>
        <w:t>M</w:t>
      </w:r>
      <w:r>
        <w:t>+Calc+Remed—y especificamos m´etricas de exactitud, fiabilidad num´erica y reducci´on por tipo de error.</w:t>
      </w:r>
    </w:p>
    <w:p w:rsidR="00363189" w:rsidRDefault="00073C36">
      <w:pPr>
        <w:numPr>
          <w:ilvl w:val="0"/>
          <w:numId w:val="1"/>
        </w:numPr>
        <w:spacing w:after="174"/>
        <w:ind w:left="521" w:right="291" w:hanging="255"/>
      </w:pPr>
      <w:r>
        <w:t>Introducimos el mapeo de conceptos err´oneos informado por solapamiento como una forma fundamentada de transformar patrones de error compartidos en obj</w:t>
      </w:r>
      <w:r>
        <w:t>etivos de remediaci´on accionables.</w:t>
      </w:r>
    </w:p>
    <w:p w:rsidR="00363189" w:rsidRDefault="00073C36">
      <w:pPr>
        <w:numPr>
          <w:ilvl w:val="0"/>
          <w:numId w:val="1"/>
        </w:numPr>
        <w:spacing w:after="331"/>
        <w:ind w:left="521" w:right="291" w:hanging="255"/>
      </w:pPr>
      <w:r>
        <w:t>Proporcionamos un estudio de simulaci´on transparente que demuestra c´omo se reportar´ıan las ganancias esperadas y los diagn´osticos, sin afirmar resultados a partir de ´ıtems de examen propietarios.</w:t>
      </w:r>
    </w:p>
    <w:p w:rsidR="00363189" w:rsidRDefault="00073C36">
      <w:pPr>
        <w:pStyle w:val="Heading1"/>
        <w:ind w:left="485" w:right="157" w:hanging="478"/>
      </w:pPr>
      <w:r>
        <w:t>Revisi´on de la lit</w:t>
      </w:r>
      <w:r>
        <w:t>eratura y formulaci´on del problema</w:t>
      </w:r>
    </w:p>
    <w:p w:rsidR="00363189" w:rsidRDefault="00073C36">
      <w:pPr>
        <w:ind w:left="7" w:right="291" w:firstLine="0"/>
      </w:pPr>
      <w:r>
        <w:t>Los m´etodos de inteligencia artificial han avanzado r´apidamente en odontolog´ıa, con aplicaciones que abarcan imagenolog´ıa, apoyo al diagn´ostico y evaluaci´on educativa [2–4]. Dentro de este panorama m´as amplio, est</w:t>
      </w:r>
      <w:r>
        <w:t xml:space="preserve">udios recientes que evalu´an sistemas tipo ChatGPT en ex´amenes odontol´ogicos y tareas de aprendizaje reportan un patr´on consistente: buen rendimiento en´ıtems de conocimiento factual y comprensi´on, pero menor rendimiento en preguntas cuantitativamente </w:t>
      </w:r>
      <w:r>
        <w:t>intensivas [1]. Esta debilidad recurrente sugiere que reportar u´nicamente la exactitud agregada es insuficiente. En su lugar, los marcos de evaluaci´on deben disen˜arse para abordar expl´ıcitamente modos de fallo conocidos del razonamiento cuantitativo.</w:t>
      </w:r>
    </w:p>
    <w:p w:rsidR="00363189" w:rsidRDefault="00073C36">
      <w:pPr>
        <w:ind w:left="7" w:right="291"/>
      </w:pPr>
      <w:r>
        <w:t>E</w:t>
      </w:r>
      <w:r>
        <w:t>sta necesidad se refuerza con la literatura m´as amplia sobre alucinaci´on y fiabilidad en modelos de lenguaje de gran taman˜o. La alucinaci´on, la sobreconfianza y el razonamiento inestable siguen siendo preocupaciones centrales para el despliegue en domi</w:t>
      </w:r>
      <w:r>
        <w:t xml:space="preserve">nios de alto riesgo [5]. Enfoques de prompting como chain-of-thought y razonamiento zero-shot pueden mejorar el rendimiento en algunos escenarios [9,10], mientras que la decodificaci´on por self-consistency puede aumentar la robustez al agregar mu´ltiples </w:t>
      </w:r>
      <w:r>
        <w:t>trayectorias de razonamiento [11]. Sin embargo, en tareas cuantitativas odontol´ogicas, la fluidez explicativa por s´ı sola no garantiza correcci´on. El principal cuello de botella suele ser la fiabilidad num´erica, incluyendo ejecuci´on aritm´etica, manej</w:t>
      </w:r>
      <w:r>
        <w:t>o de unidades y consistencia entre c´alculos intermedios y respuestas finales.</w:t>
      </w:r>
    </w:p>
    <w:p w:rsidR="00363189" w:rsidRDefault="00073C36">
      <w:pPr>
        <w:ind w:left="7" w:right="291"/>
      </w:pPr>
      <w:r>
        <w:t xml:space="preserve">Una direcci´on prometedora es el aumento con herramientas. Un creciente cuerpo de trabajo muestra que los LLMs pueden mejorar el razonamiento cuantitativo cuando se acoplan con herramientas externas como calculadoras, solucionadores simb´olicos o entornos </w:t>
      </w:r>
      <w:r>
        <w:t>de ejecuci´on de programas [12–15]. Estos estudios motivan un principio de disen˜o m´as fuerte orientado a la seguridad en entornos educativos y cl´ınico-adyacentes: siempre que una respuesta requiera c´alculo num´erico, los subpasos aritm´eticos deben del</w:t>
      </w:r>
      <w:r>
        <w:t>egarse a un motor de c´omputo confiable en lugar de ser generados puramente por el modelo de lenguaje. En este marco, la obligatoriedad del uso de calculadora no es solo una optimizaci´on de exactitud, sino una restricci´on de fiabilidad.</w:t>
      </w:r>
    </w:p>
    <w:p w:rsidR="00363189" w:rsidRDefault="00073C36">
      <w:pPr>
        <w:ind w:left="7" w:right="291"/>
      </w:pPr>
      <w:r>
        <w:t>La medici´on educ</w:t>
      </w:r>
      <w:r>
        <w:t>ativa y la psicometr´ıa ofrecen una perspectiva complementaria para analizar errores persistentes del modelo. Los marcos cl´asicos y modernos de calibraci´on de ´ıtems, incluyendo Rasch y la teor´ıa de respuesta al´ıtem (IRT), proporcionan herramientas fun</w:t>
      </w:r>
      <w:r>
        <w:t>damentadas para modelar dificultad y discriminaci´on de ´ıtems [18–20]. En paralelo, la investigaci´on en educaci´on qu´ımica ha mostrado que los errores de los estudiantes suelen agruparse en torno a conceptos err´oneos conceptuales estables, m´as que ser</w:t>
      </w:r>
      <w:r>
        <w:t xml:space="preserve"> fallos aleatorios [21]. Extendemos esta idea al razonamiento cuantitativo odontol´ogico utilizando </w:t>
      </w:r>
      <w:r>
        <w:rPr>
          <w:i/>
        </w:rPr>
        <w:t xml:space="preserve">solapamiento de errores </w:t>
      </w:r>
      <w:r>
        <w:t xml:space="preserve">entre variantes del modelo para inferir conglomerados tipo concepto err´oneo. Bajo esta perspectiva, fallos repetidos </w:t>
      </w:r>
      <w:r>
        <w:lastRenderedPageBreak/>
        <w:t>compartidos po</w:t>
      </w:r>
      <w:r>
        <w:t>r mu´ltiples configuraciones del modelo pueden revelar puntos ciegos conceptuales latentes que requieren remediaci´on dirigida, en lugar de ajuste gen´erico de prompts.</w:t>
      </w:r>
    </w:p>
    <w:p w:rsidR="00363189" w:rsidRDefault="00073C36">
      <w:pPr>
        <w:ind w:left="7" w:right="291"/>
      </w:pPr>
      <w:r>
        <w:t>Motivados por estas l´ıneas de trabajo, formalizamos el razonamiento dental cuantitativ</w:t>
      </w:r>
      <w:r>
        <w:t>o como un problema estructurado de predicci´on y fiabilidad. Sea</w:t>
      </w:r>
    </w:p>
    <w:p w:rsidR="00363189" w:rsidRDefault="00073C36">
      <w:pPr>
        <w:spacing w:after="0" w:line="259" w:lineRule="auto"/>
        <w:ind w:left="3888" w:firstLine="0"/>
        <w:jc w:val="left"/>
      </w:pPr>
      <w:r>
        <w:rPr>
          <w:noProof/>
        </w:rPr>
        <w:drawing>
          <wp:inline distT="0" distB="0" distL="0" distR="0">
            <wp:extent cx="1130808" cy="152400"/>
            <wp:effectExtent l="0" t="0" r="0" b="0"/>
            <wp:docPr id="16458" name="Picture 16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" name="Picture 164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080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189" w:rsidRDefault="00073C36">
      <w:pPr>
        <w:ind w:left="7" w:right="291" w:firstLine="0"/>
      </w:pPr>
      <w:r>
        <w:t xml:space="preserve">un conjunto de datos de ´ıtems cuantitativos en odontolog´ıa, donde </w:t>
      </w:r>
      <w:r>
        <w:rPr>
          <w:i/>
        </w:rPr>
        <w:t>q</w:t>
      </w:r>
      <w:r>
        <w:rPr>
          <w:i/>
          <w:vertAlign w:val="subscript"/>
        </w:rPr>
        <w:t xml:space="preserve">i </w:t>
      </w:r>
      <w:r>
        <w:t xml:space="preserve">es el texto de la pregunta (opcionalmente acompan˜ado de campos num´ericos estructurados), </w:t>
      </w:r>
      <w:r>
        <w:rPr>
          <w:i/>
        </w:rPr>
        <w:t>a</w:t>
      </w:r>
      <w:r>
        <w:rPr>
          <w:i/>
          <w:vertAlign w:val="subscript"/>
        </w:rPr>
        <w:t xml:space="preserve">i </w:t>
      </w:r>
      <w:r>
        <w:t>es la respuesta de refer</w:t>
      </w:r>
      <w:r>
        <w:t xml:space="preserve">encia (incluyendo valor num´erico y unidad cuando corresponda), y </w:t>
      </w:r>
      <w:r>
        <w:rPr>
          <w:i/>
        </w:rPr>
        <w:t>s</w:t>
      </w:r>
      <w:r>
        <w:rPr>
          <w:i/>
          <w:vertAlign w:val="subscript"/>
        </w:rPr>
        <w:t xml:space="preserve">i </w:t>
      </w:r>
      <w:r>
        <w:t xml:space="preserve">∈ S </w:t>
      </w:r>
      <w:r>
        <w:t>es una etiqueta de habilidad como ´algebra, probabilidad, estequiometr´ıa, conversi´on de unidades, o c´alculos dentales de dosificaci´on/materiales.</w:t>
      </w:r>
    </w:p>
    <w:p w:rsidR="00363189" w:rsidRDefault="00073C36">
      <w:pPr>
        <w:ind w:left="7" w:right="291"/>
      </w:pPr>
      <w:r>
        <w:t xml:space="preserve">Para un sistema </w:t>
      </w:r>
      <w:r>
        <w:rPr>
          <w:i/>
        </w:rPr>
        <w:t xml:space="preserve">f </w:t>
      </w:r>
      <w:r>
        <w:t>que asigna a ca</w:t>
      </w:r>
      <w:r>
        <w:t xml:space="preserve">da´ıtem </w:t>
      </w:r>
      <w:r>
        <w:rPr>
          <w:i/>
        </w:rPr>
        <w:t>q</w:t>
      </w:r>
      <w:r>
        <w:rPr>
          <w:i/>
          <w:vertAlign w:val="subscript"/>
        </w:rPr>
        <w:t xml:space="preserve">i </w:t>
      </w:r>
      <w:r>
        <w:t>una respuesta predicha ˆ</w:t>
      </w:r>
      <w:r>
        <w:rPr>
          <w:i/>
        </w:rPr>
        <w:t>a</w:t>
      </w:r>
      <w:r>
        <w:rPr>
          <w:i/>
          <w:vertAlign w:val="subscript"/>
        </w:rPr>
        <w:t xml:space="preserve">i </w:t>
      </w:r>
      <w:r>
        <w:t xml:space="preserve">= </w:t>
      </w:r>
      <w:r>
        <w:rPr>
          <w:i/>
        </w:rPr>
        <w:t>f</w:t>
      </w:r>
      <w:r>
        <w:t>(</w:t>
      </w:r>
      <w:r>
        <w:rPr>
          <w:i/>
        </w:rPr>
        <w:t>q</w:t>
      </w:r>
      <w:r>
        <w:rPr>
          <w:i/>
          <w:vertAlign w:val="subscript"/>
        </w:rPr>
        <w:t>i</w:t>
      </w:r>
      <w:r>
        <w:t xml:space="preserve">), nuestro objetivo es optimizar el desempen˜o en cuatro dimensiones acopladas: correcci´on global en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, fiabilidad num´erica (valor y unidad correctos simult´aneamente), reducci´on de tipos de error cl´ınicamen</w:t>
      </w:r>
      <w:r>
        <w:t>te y educativamente significativos (p. ej., errores conceptuales, de ejecuci´on y de unidades), y construcci´on de un mapa de conceptos err´oneos informado por solapamiento que priorice fallos conceptuales persistentes para su remediaci´on. Esta formulaci´</w:t>
      </w:r>
      <w:r>
        <w:t>on desplaza la tarea desde un ejercicio de benchmark de una sola puntuaci´on hacia un marco diagn´ostico consciente de la fiabilidad.</w:t>
      </w:r>
    </w:p>
    <w:p w:rsidR="00363189" w:rsidRDefault="00073C36">
      <w:pPr>
        <w:spacing w:after="331"/>
        <w:ind w:left="7" w:right="291"/>
      </w:pPr>
      <w:r>
        <w:t xml:space="preserve">Dentro de este marco, estudiamos tres configuraciones de sistema. La primera, </w:t>
      </w:r>
      <w:r>
        <w:t>M</w:t>
      </w:r>
      <w:r>
        <w:t>, es un LLM base con prompting estandarizad</w:t>
      </w:r>
      <w:r>
        <w:t xml:space="preserve">o. La segunda, </w:t>
      </w:r>
      <w:r>
        <w:t>M</w:t>
      </w:r>
      <w:r>
        <w:t xml:space="preserve">+Calc, es un LLM aumentado con herramientas y restringido a invocar una calculadora o solucionador simb´olico para cada subpaso num´erico. La tercera, </w:t>
      </w:r>
      <w:r>
        <w:t>M</w:t>
      </w:r>
      <w:r>
        <w:t>+Calc+Remed, extiende el sistema aumentado con herramientas con diagn´osticos informados</w:t>
      </w:r>
      <w:r>
        <w:t xml:space="preserve"> por solapamiento que activan listas de verificaci´on estructuradas y prompts de remediaci´on dirigidos cuando los patrones de error sugieren un comportamiento persistente tipo concepto err´oneo. En conjunto, estos sistemas operacionalizan la hip´otesis ce</w:t>
      </w:r>
      <w:r>
        <w:t>ntral de este estudio: mejorar el razonamiento cuantitativo odontol´ogico requiere no solo una generaci´on m´as fuerte, sino tambi´en una fundamentaci´on computacional expl´ıcita y mecanismos de retroalimentaci´on diagn´ostica.</w:t>
      </w:r>
    </w:p>
    <w:p w:rsidR="00363189" w:rsidRDefault="00073C36">
      <w:pPr>
        <w:pStyle w:val="Heading1"/>
        <w:ind w:left="485" w:right="157" w:hanging="478"/>
      </w:pPr>
      <w:r>
        <w:t>Metodolog´ıa, an´alisis te´o</w:t>
      </w:r>
      <w:r>
        <w:t>rico y experimentos num´ericos</w:t>
      </w:r>
    </w:p>
    <w:p w:rsidR="00363189" w:rsidRDefault="00073C36">
      <w:pPr>
        <w:ind w:left="7" w:right="291" w:firstLine="0"/>
      </w:pPr>
      <w:r>
        <w:t>Desarrollamos un marco de evaluaci´on orientado a la fiabilidad para el razonamiento cuantitativo odontol´ogico que integra disen˜o de benchmark, aumento de herramientas con uso obligatorio de calculadora, diagn´osticos de er</w:t>
      </w:r>
      <w:r>
        <w:t>ror informados por solapamiento, descomposici´on te´orica del error y un estudio de simulaci´on. La metodolog´ıa est´a disen˜ada para ser legalmente reproducible, diagn´osticamente informativa y directamente extensible a futuras evaluaciones en el mundo re</w:t>
      </w:r>
      <w:r>
        <w:t>al una vez que una cadena de herramientas implementada y un benchmark curado est´en disponibles.</w:t>
      </w:r>
    </w:p>
    <w:p w:rsidR="00363189" w:rsidRDefault="00073C36">
      <w:pPr>
        <w:ind w:left="7" w:right="291"/>
      </w:pPr>
      <w:r>
        <w:t xml:space="preserve">Un componente central es la construcci´on del benchmark de odontolog´ıa cuantitativa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 xml:space="preserve">. Para garantizar tanto legalidad como reproducibilidad, </w:t>
      </w:r>
      <w:r>
        <w:rPr>
          <w:i/>
        </w:rPr>
        <w:t>D</w:t>
      </w:r>
      <w:r>
        <w:rPr>
          <w:i/>
          <w:vertAlign w:val="subscript"/>
        </w:rPr>
        <w:t xml:space="preserve">q </w:t>
      </w:r>
      <w:r>
        <w:t xml:space="preserve">se ensambla </w:t>
      </w:r>
      <w:r>
        <w:t>a partir de tres fuentes y procedimientos: enunciados cuantitativos con licencia abierta o de dominio pu´blico (cuando est´en disponibles) que eviten reproducir contenido de ex´amenes protegido por derechos de autor; ´ıtems de nueva autor´ıa preparados por</w:t>
      </w:r>
      <w:r>
        <w:t xml:space="preserve"> docentes de odontolog´ıa y bioestad´ısticos, con cada´ıtem acompan˜ado de una etiqueta de habilidad, una soluci´on trabajada y validaci´on expl´ıcita de unidades; y pruebas piloto con estudiantes de odontolog´ıa para identificar ambigu¨edades y obtener es</w:t>
      </w:r>
      <w:r>
        <w:t>timaciones preliminares de dificultad del ´ıtem para una posterior calibraci´on psicom´etrica usando modelos basados en IRT [19,20]. Este disen˜o enfatiza la transparencia y respalda an´alisis posteriores tanto de exactitud como de estructura del error.</w:t>
      </w:r>
    </w:p>
    <w:p w:rsidR="00363189" w:rsidRDefault="00073C36">
      <w:pPr>
        <w:spacing w:after="350"/>
        <w:ind w:left="7" w:right="291"/>
      </w:pPr>
      <w:r>
        <w:t>La</w:t>
      </w:r>
      <w:r>
        <w:t xml:space="preserve"> Tabla 1 resume la cobertura prevista del benchmark a trav´es de habilidades cuantitativas clave relevantes para la odontolog´ıa. Los conteos deber´ıan finalizarse mediante mapeo curricular, revisi´on por panel de expertos y an´alisis psicom´etrico piloto.</w:t>
      </w:r>
    </w:p>
    <w:p w:rsidR="00363189" w:rsidRDefault="00073C36">
      <w:pPr>
        <w:ind w:left="7" w:right="291" w:firstLine="0"/>
      </w:pPr>
      <w:r>
        <w:t xml:space="preserve">Table 1: Plan de cobertura del benchmark propuesto de odontolog´ıa cuantitativa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. Los conteos se finalizan mediante mapeo curricular y revisi´on de expertos.</w:t>
      </w:r>
    </w:p>
    <w:tbl>
      <w:tblPr>
        <w:tblStyle w:val="TableGrid"/>
        <w:tblW w:w="9638" w:type="dxa"/>
        <w:tblInd w:w="22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3687"/>
        <w:gridCol w:w="3600"/>
      </w:tblGrid>
      <w:tr w:rsidR="00363189">
        <w:trPr>
          <w:trHeight w:val="265"/>
        </w:trPr>
        <w:tc>
          <w:tcPr>
            <w:tcW w:w="2351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Etiqueta de habilidad</w:t>
            </w:r>
          </w:p>
        </w:tc>
        <w:tc>
          <w:tcPr>
            <w:tcW w:w="3687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Ejemplos</w:t>
            </w:r>
          </w:p>
        </w:tc>
        <w:tc>
          <w:tcPr>
            <w:tcW w:w="3600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5"/>
              </w:rPr>
              <w:t>Relevancia dental (ilustrativa)</w:t>
            </w:r>
          </w:p>
        </w:tc>
      </w:tr>
      <w:tr w:rsidR="00363189">
        <w:trPr>
          <w:trHeight w:val="247"/>
        </w:trPr>
        <w:tc>
          <w:tcPr>
            <w:tcW w:w="2351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Algebra´</w:t>
            </w:r>
          </w:p>
        </w:tc>
        <w:tc>
          <w:tcPr>
            <w:tcW w:w="3687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ecuaciones lineales, proporciones</w:t>
            </w:r>
          </w:p>
        </w:tc>
        <w:tc>
          <w:tcPr>
            <w:tcW w:w="360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c´alculos en consulta; escalado de mezclas</w:t>
            </w:r>
          </w:p>
        </w:tc>
      </w:tr>
      <w:tr w:rsidR="00363189">
        <w:trPr>
          <w:trHeight w:val="185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Probabilidad/estad´ıstica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probabilidad condicional, sensibilidad/especificidad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razonamiento diagn´ostico, m´etricas de cribado</w:t>
            </w:r>
          </w:p>
        </w:tc>
      </w:tr>
      <w:tr w:rsidR="00363189">
        <w:trPr>
          <w:trHeight w:val="185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Estequiometr´ıa/qu´ımica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molaridad, diluci´on, rendimiento de reacci´on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qu´ımica de materiales, preparaci´on de soluciones</w:t>
            </w:r>
          </w:p>
        </w:tc>
      </w:tr>
      <w:tr w:rsidR="00363189">
        <w:trPr>
          <w:trHeight w:val="370"/>
        </w:trPr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Conversi´on de unidades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mg–g, mL–L, ppm, tiempo/temperatura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ppm de fluoruro, dosificaci´on, proporciones de materiales</w:t>
            </w:r>
          </w:p>
        </w:tc>
      </w:tr>
      <w:tr w:rsidR="00363189">
        <w:trPr>
          <w:trHeight w:val="405"/>
        </w:trPr>
        <w:tc>
          <w:tcPr>
            <w:tcW w:w="23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Dosificaci´on/materiales dentales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ver</w:t>
            </w:r>
            <w:r>
              <w:rPr>
                <w:sz w:val="15"/>
              </w:rPr>
              <w:t>ificaci´on de dosis m´axima, diluci´on, proporciones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>anestesia local, reg´ımenes de fluoruro, mezcla de cementos</w:t>
            </w:r>
          </w:p>
        </w:tc>
      </w:tr>
    </w:tbl>
    <w:p w:rsidR="00363189" w:rsidRDefault="00073C36">
      <w:pPr>
        <w:spacing w:after="0" w:line="259" w:lineRule="auto"/>
        <w:ind w:left="0" w:right="306" w:firstLine="0"/>
        <w:jc w:val="right"/>
      </w:pPr>
      <w:r>
        <w:t>La intervenci´on central en la canalizaci´on de desarrollo del modelo es el aumento de herramientas con</w:t>
      </w:r>
    </w:p>
    <w:p w:rsidR="00363189" w:rsidRDefault="00073C36">
      <w:pPr>
        <w:ind w:left="7" w:right="291" w:firstLine="0"/>
      </w:pPr>
      <w:r>
        <w:t>uso obligatorio de calculadora. En lugar de permitir simplemente el uso opcional de herramientas, el sistema se restringe para delegar todos los subpasos num´ericos a una calculadora o solucionador simb´olico confiable. Este enfoque est´a conceptualmente a</w:t>
      </w:r>
      <w:r>
        <w:t>lineado con trabajos previos sobre modelos de lenguaje aumentados con herramientas [12,13], pero aqu´ı se operacionaliza como un requisito estricto de fiabilidad para tareas cuantitativas odontol´ogicas. El objetivo es reducir fallos aritm´eticos y relacio</w:t>
      </w:r>
      <w:r>
        <w:t>nados con unidades, preservando al mismo tiempo el papel del modelo en el an´alisis del problema, la planificaci´on y la explicaci´on.</w:t>
      </w:r>
    </w:p>
    <w:p w:rsidR="00363189" w:rsidRDefault="00073C36">
      <w:pPr>
        <w:ind w:left="7" w:right="291"/>
      </w:pPr>
      <w:r>
        <w:t xml:space="preserve">El Algoritmo 1 describe el procedimiento de respuesta cuantitativa con uso obligatorio de calculadora para </w:t>
      </w:r>
      <w:r>
        <w:t>M</w:t>
      </w:r>
      <w:r>
        <w:t>+Calc. La can</w:t>
      </w:r>
      <w:r>
        <w:t xml:space="preserve">alizaci´on primero analiza la pregunta en cantidades conocidas, variables objetivo y restricciones de unidades; descompone el problema en subpasos num´ericos; normaliza unidades; ejecuta cada operaci´on num´erica mediante un motor de c´omputo confiable; y </w:t>
      </w:r>
      <w:r>
        <w:t>finalmente valida magnitudes intermedias y unidades antes de componer la respuesta final.</w:t>
      </w:r>
    </w:p>
    <w:p w:rsidR="00363189" w:rsidRDefault="00073C36">
      <w:pPr>
        <w:spacing w:after="59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0003" cy="10122"/>
                <wp:effectExtent l="0" t="0" r="0" b="0"/>
                <wp:docPr id="13873" name="Group 13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0122"/>
                          <a:chOff x="0" y="0"/>
                          <a:chExt cx="6120003" cy="10122"/>
                        </a:xfrm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012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73" style="width:481.89pt;height:0.797pt;mso-position-horizontal-relative:char;mso-position-vertical-relative:line" coordsize="61200,101">
                <v:shape id="Shape 306" style="position:absolute;width:61200;height:0;left:0;top:0;" coordsize="6120003,0" path="m0,0l6120003,0">
                  <v:stroke weight="0.797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63189" w:rsidRDefault="00073C36">
      <w:pPr>
        <w:ind w:left="7" w:right="291" w:firstLine="0"/>
      </w:pPr>
      <w:r>
        <w:rPr>
          <w:b/>
        </w:rPr>
        <w:t xml:space="preserve">Algorithm 1 </w:t>
      </w:r>
      <w:r>
        <w:t>Respuesta cuantitativa con uso obligatorio de calculadora (</w:t>
      </w:r>
      <w:r>
        <w:t>M</w:t>
      </w:r>
      <w:r>
        <w:t>+Calc)</w:t>
      </w:r>
    </w:p>
    <w:p w:rsidR="00363189" w:rsidRDefault="00073C36">
      <w:pPr>
        <w:spacing w:after="46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0003" cy="5055"/>
                <wp:effectExtent l="0" t="0" r="0" b="0"/>
                <wp:docPr id="13874" name="Group 13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5055"/>
                          <a:chOff x="0" y="0"/>
                          <a:chExt cx="6120003" cy="5055"/>
                        </a:xfrm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74" style="width:481.89pt;height:0.398pt;mso-position-horizontal-relative:char;mso-position-vertical-relative:line" coordsize="61200,50">
                <v:shape id="Shape 311" style="position:absolute;width:61200;height:0;left:0;top:0;" coordsize="6120003,0" path="m0,0l612000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63189" w:rsidRDefault="00073C36">
      <w:pPr>
        <w:ind w:left="130" w:right="291" w:firstLine="0"/>
      </w:pPr>
      <w:r>
        <w:rPr>
          <w:sz w:val="16"/>
        </w:rPr>
        <w:t xml:space="preserve">1: </w:t>
      </w:r>
      <w:r>
        <w:rPr>
          <w:b/>
        </w:rPr>
        <w:t xml:space="preserve">Entrada: </w:t>
      </w:r>
      <w:r>
        <w:t xml:space="preserve">pregunta </w:t>
      </w:r>
      <w:r>
        <w:rPr>
          <w:i/>
        </w:rPr>
        <w:t>q</w:t>
      </w:r>
    </w:p>
    <w:p w:rsidR="00363189" w:rsidRDefault="00073C36">
      <w:pPr>
        <w:ind w:left="130" w:right="291" w:firstLine="0"/>
      </w:pPr>
      <w:r>
        <w:rPr>
          <w:sz w:val="16"/>
        </w:rPr>
        <w:t xml:space="preserve">2: </w:t>
      </w:r>
      <w:r>
        <w:t xml:space="preserve">Analizar </w:t>
      </w:r>
      <w:r>
        <w:rPr>
          <w:i/>
        </w:rPr>
        <w:t xml:space="preserve">q </w:t>
      </w:r>
      <w:r>
        <w:t>en (i) cantidades conocidas, (ii) objetivo desconocido, (iii) restricciones de unidades.</w:t>
      </w:r>
    </w:p>
    <w:p w:rsidR="00363189" w:rsidRDefault="00073C36">
      <w:pPr>
        <w:spacing w:line="245" w:lineRule="auto"/>
        <w:ind w:left="130" w:right="608" w:firstLine="0"/>
      </w:pPr>
      <w:r>
        <w:rPr>
          <w:sz w:val="16"/>
        </w:rPr>
        <w:t xml:space="preserve">3: </w:t>
      </w:r>
      <w:r>
        <w:t>Descomponer en subpasos</w:t>
      </w:r>
      <w:r>
        <w:rPr>
          <w:noProof/>
        </w:rPr>
        <w:drawing>
          <wp:inline distT="0" distB="0" distL="0" distR="0">
            <wp:extent cx="420624" cy="146304"/>
            <wp:effectExtent l="0" t="0" r="0" b="0"/>
            <wp:docPr id="16459" name="Picture 16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" name="Picture 164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donde cada </w:t>
      </w:r>
      <w:r>
        <w:rPr>
          <w:i/>
        </w:rPr>
        <w:t>g</w:t>
      </w:r>
      <w:r>
        <w:rPr>
          <w:i/>
          <w:vertAlign w:val="subscript"/>
        </w:rPr>
        <w:t xml:space="preserve">k </w:t>
      </w:r>
      <w:r>
        <w:t xml:space="preserve">es una operaci´on num´erica o aplicaci´on de f´ormula. </w:t>
      </w:r>
      <w:r>
        <w:rPr>
          <w:sz w:val="16"/>
        </w:rPr>
        <w:t xml:space="preserve">4: </w:t>
      </w:r>
      <w:r>
        <w:rPr>
          <w:b/>
        </w:rPr>
        <w:t xml:space="preserve">for </w:t>
      </w:r>
      <w:r>
        <w:rPr>
          <w:i/>
        </w:rPr>
        <w:t xml:space="preserve">k </w:t>
      </w:r>
      <w:r>
        <w:t xml:space="preserve">= 1 to </w:t>
      </w:r>
      <w:r>
        <w:rPr>
          <w:i/>
        </w:rPr>
        <w:t xml:space="preserve">K </w:t>
      </w:r>
      <w:r>
        <w:rPr>
          <w:b/>
        </w:rPr>
        <w:t>do</w:t>
      </w:r>
    </w:p>
    <w:p w:rsidR="00363189" w:rsidRDefault="00073C36">
      <w:pPr>
        <w:tabs>
          <w:tab w:val="center" w:pos="3378"/>
        </w:tabs>
        <w:ind w:left="0" w:firstLine="0"/>
        <w:jc w:val="left"/>
      </w:pPr>
      <w:r>
        <w:rPr>
          <w:sz w:val="16"/>
        </w:rPr>
        <w:t>5:</w:t>
      </w:r>
      <w:r>
        <w:rPr>
          <w:sz w:val="16"/>
        </w:rPr>
        <w:tab/>
      </w:r>
      <w:r>
        <w:t>Convertir las unidades a un sistema consistent</w:t>
      </w:r>
      <w:r>
        <w:t>e (si es necesario).</w:t>
      </w:r>
    </w:p>
    <w:p w:rsidR="00363189" w:rsidRDefault="00073C36">
      <w:pPr>
        <w:ind w:left="130" w:right="2580" w:firstLine="0"/>
      </w:pPr>
      <w:r>
        <w:rPr>
          <w:sz w:val="16"/>
        </w:rPr>
        <w:t>6:</w:t>
      </w:r>
      <w:r>
        <w:rPr>
          <w:sz w:val="16"/>
        </w:rPr>
        <w:tab/>
      </w:r>
      <w:r>
        <w:t xml:space="preserve">Llamar a la calculadora/solucionador simb´olico para calcular </w:t>
      </w:r>
      <w:r>
        <w:rPr>
          <w:i/>
        </w:rPr>
        <w:t>x</w:t>
      </w:r>
      <w:r>
        <w:rPr>
          <w:i/>
          <w:vertAlign w:val="subscript"/>
        </w:rPr>
        <w:t xml:space="preserve">k </w:t>
      </w:r>
      <w:r>
        <w:t xml:space="preserve">← </w:t>
      </w:r>
      <w:r>
        <w:t>Calc(</w:t>
      </w:r>
      <w:r>
        <w:rPr>
          <w:i/>
        </w:rPr>
        <w:t>g</w:t>
      </w:r>
      <w:r>
        <w:rPr>
          <w:i/>
          <w:vertAlign w:val="subscript"/>
        </w:rPr>
        <w:t>k</w:t>
      </w:r>
      <w:r>
        <w:t xml:space="preserve">). </w:t>
      </w:r>
      <w:r>
        <w:rPr>
          <w:sz w:val="16"/>
        </w:rPr>
        <w:t>7:</w:t>
      </w:r>
      <w:r>
        <w:rPr>
          <w:sz w:val="16"/>
        </w:rPr>
        <w:tab/>
      </w:r>
      <w:r>
        <w:t>Validar unidades intermedias y magnitud (comprobaciones de plausibilidad).</w:t>
      </w:r>
    </w:p>
    <w:p w:rsidR="00363189" w:rsidRDefault="00073C36">
      <w:pPr>
        <w:spacing w:after="0" w:line="259" w:lineRule="auto"/>
        <w:ind w:left="140" w:hanging="10"/>
        <w:jc w:val="left"/>
      </w:pPr>
      <w:r>
        <w:rPr>
          <w:sz w:val="16"/>
        </w:rPr>
        <w:t xml:space="preserve">8: </w:t>
      </w:r>
      <w:r>
        <w:rPr>
          <w:b/>
        </w:rPr>
        <w:t>end for</w:t>
      </w:r>
    </w:p>
    <w:p w:rsidR="00363189" w:rsidRDefault="00073C36">
      <w:pPr>
        <w:ind w:left="130" w:right="291" w:firstLine="0"/>
      </w:pPr>
      <w:r>
        <w:rPr>
          <w:sz w:val="16"/>
        </w:rPr>
        <w:t xml:space="preserve">9: </w:t>
      </w:r>
      <w:r>
        <w:t>Componer la respuesta final ˆ</w:t>
      </w:r>
      <w:r>
        <w:rPr>
          <w:i/>
        </w:rPr>
        <w:t xml:space="preserve">a </w:t>
      </w:r>
      <w:r>
        <w:t>con valor num´erico y unidad.</w:t>
      </w:r>
    </w:p>
    <w:p w:rsidR="00363189" w:rsidRDefault="00073C36">
      <w:pPr>
        <w:pStyle w:val="Heading2"/>
        <w:spacing w:after="0"/>
        <w:ind w:left="40" w:right="0" w:hanging="10"/>
        <w:jc w:val="left"/>
      </w:pPr>
      <w:r>
        <w:rPr>
          <w:b w:val="0"/>
          <w:sz w:val="16"/>
        </w:rPr>
        <w:t>10</w:t>
      </w:r>
      <w:r>
        <w:rPr>
          <w:b w:val="0"/>
          <w:sz w:val="16"/>
        </w:rPr>
        <w:t xml:space="preserve">: </w:t>
      </w:r>
      <w:r>
        <w:rPr>
          <w:sz w:val="20"/>
        </w:rPr>
        <w:t xml:space="preserve">Salida: </w:t>
      </w:r>
      <w:r>
        <w:rPr>
          <w:b w:val="0"/>
          <w:i/>
          <w:sz w:val="20"/>
        </w:rPr>
        <w:t>a</w:t>
      </w:r>
      <w:r>
        <w:rPr>
          <w:b w:val="0"/>
          <w:sz w:val="20"/>
        </w:rPr>
        <w:t>ˆ</w:t>
      </w:r>
    </w:p>
    <w:p w:rsidR="00363189" w:rsidRDefault="00073C36">
      <w:pPr>
        <w:spacing w:after="340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20003" cy="5055"/>
                <wp:effectExtent l="0" t="0" r="0" b="0"/>
                <wp:docPr id="13875" name="Group 13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5055"/>
                          <a:chOff x="0" y="0"/>
                          <a:chExt cx="6120003" cy="5055"/>
                        </a:xfrm>
                      </wpg:grpSpPr>
                      <wps:wsp>
                        <wps:cNvPr id="362" name="Shape 362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505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875" style="width:481.89pt;height:0.398pt;mso-position-horizontal-relative:char;mso-position-vertical-relative:line" coordsize="61200,50">
                <v:shape id="Shape 362" style="position:absolute;width:61200;height:0;left:0;top:0;" coordsize="6120003,0" path="m0,0l6120003,0">
                  <v:stroke weight="0.39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363189" w:rsidRDefault="00073C36">
      <w:pPr>
        <w:ind w:left="7" w:right="291"/>
      </w:pPr>
      <w:r>
        <w:t>Para ir m´as all´a de la exactitud agregada, introducimos una taxonom´ıa de errores y un marco de mapeo de conceptos err´oneos informado por solapamiento. Los errores se clasifican en tres categor´ıas amplias: errores conceptuales (elecci´on de f´ormula in</w:t>
      </w:r>
      <w:r>
        <w:t>correcta, supuestos inv´alidos o mala comprensi´on del dominio), errores de ejecuci´on (deslices aritm´eticos, sustituci´on incorrecta o errores de manipulaci´on algebraica) y errores de unidades (respuestas num´ericamente plausibles pero con unidades inco</w:t>
      </w:r>
      <w:r>
        <w:t>rrectas o inconsistentes). Esta taxonom´ıa permite an´alisis e intervenci´on dirigidos, particularmente en escenarios donde un modelo puede parecer fluido pero aun as´ı producir salidas cuantitativas inseguras.</w:t>
      </w:r>
    </w:p>
    <w:p w:rsidR="00363189" w:rsidRDefault="00073C36">
      <w:pPr>
        <w:spacing w:after="82"/>
        <w:ind w:left="7" w:right="291"/>
      </w:pPr>
      <w:r>
        <w:t xml:space="preserve">Para identificar modos de fallo persistentes </w:t>
      </w:r>
      <w:r>
        <w:t xml:space="preserve">entre variantes del modelo, definimos una puntuaci´on de solapamiento basada en dos sistemas </w:t>
      </w:r>
      <w:r>
        <w:rPr>
          <w:i/>
        </w:rPr>
        <w:t>f</w:t>
      </w:r>
      <w:r>
        <w:rPr>
          <w:vertAlign w:val="superscript"/>
        </w:rPr>
        <w:t xml:space="preserve">(1) </w:t>
      </w:r>
      <w:r>
        <w:t xml:space="preserve">y </w:t>
      </w:r>
      <w:r>
        <w:rPr>
          <w:i/>
        </w:rPr>
        <w:t>f</w:t>
      </w:r>
      <w:r>
        <w:rPr>
          <w:vertAlign w:val="superscript"/>
        </w:rPr>
        <w:t>(2)</w:t>
      </w:r>
      <w:r>
        <w:t>, como diferentes checkpoints o versiones del modelo:</w:t>
      </w:r>
    </w:p>
    <w:p w:rsidR="00363189" w:rsidRDefault="00073C36">
      <w:pPr>
        <w:spacing w:after="90" w:line="259" w:lineRule="auto"/>
        <w:ind w:left="10" w:right="284" w:hanging="10"/>
        <w:jc w:val="center"/>
      </w:pPr>
      <w:r>
        <w:t>Overlap =</w:t>
      </w:r>
      <w:r>
        <w:rPr>
          <w:noProof/>
        </w:rPr>
        <w:drawing>
          <wp:inline distT="0" distB="0" distL="0" distR="0">
            <wp:extent cx="1551432" cy="381000"/>
            <wp:effectExtent l="0" t="0" r="0" b="0"/>
            <wp:docPr id="16460" name="Picture 16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" name="Picture 164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143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.</w:t>
      </w:r>
    </w:p>
    <w:p w:rsidR="00363189" w:rsidRDefault="00073C36">
      <w:pPr>
        <w:spacing w:after="24" w:line="294" w:lineRule="auto"/>
        <w:ind w:firstLine="0"/>
        <w:jc w:val="left"/>
      </w:pPr>
      <w:r>
        <w:t>Esta cantidad es el solapamiento de Jaccard de los dos conjuntos de error. Un solapamiento alto indica que es m´as probable que los fallos surjan de debilidades estables y compartidas (estructuras candidatas tipo concepto err´oneo) que de variabilidad alea</w:t>
      </w:r>
      <w:r>
        <w:t>toria o sensibilidad al prompt.</w:t>
      </w:r>
    </w:p>
    <w:p w:rsidR="00363189" w:rsidRDefault="00073C36">
      <w:pPr>
        <w:ind w:left="7" w:right="291"/>
      </w:pPr>
      <w:r>
        <w:t xml:space="preserve">El sistema mejorado con remediaci´on </w:t>
      </w:r>
      <w:r>
        <w:t>M</w:t>
      </w:r>
      <w:r>
        <w:t>+Calc+Remed utiliza esta taxonom´ıa y la sen˜al de solapamiento para activar intervenciones dirigidas. La Tabla 2 resume sen˜ales de detecci´on representativas y acciones de remediaci´on</w:t>
      </w:r>
      <w:r>
        <w:t>. En particular, errores conceptuales repetidos con solapamiento entre variantes activan listas de verificaci´on centradas en conceptos y recuperaci´on de principios, mientras que errores de ejecuci´on y de unidades activan compuertas m´as estrictas de val</w:t>
      </w:r>
      <w:r>
        <w:t>idaci´on computacional y dimensional.</w:t>
      </w:r>
    </w:p>
    <w:p w:rsidR="00363189" w:rsidRDefault="00073C36">
      <w:pPr>
        <w:ind w:left="7" w:right="291"/>
      </w:pPr>
      <w:r>
        <w:t>La evaluaci´on se realiza utilizando un conjunto de m´etricas consciente de la fiabilidad. Reportamos la exactitud est´andar,</w:t>
      </w:r>
    </w:p>
    <w:p w:rsidR="00363189" w:rsidRDefault="00073C36">
      <w:pPr>
        <w:spacing w:after="66" w:line="259" w:lineRule="auto"/>
        <w:ind w:left="10" w:right="284" w:hanging="10"/>
        <w:jc w:val="center"/>
      </w:pPr>
      <w:r>
        <w:t xml:space="preserve">Acc = </w:t>
      </w:r>
      <w:r>
        <w:rPr>
          <w:noProof/>
        </w:rPr>
        <w:drawing>
          <wp:inline distT="0" distB="0" distL="0" distR="0">
            <wp:extent cx="853440" cy="326136"/>
            <wp:effectExtent l="0" t="0" r="0" b="0"/>
            <wp:docPr id="16461" name="Picture 16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" name="Picture 164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32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,</w:t>
      </w:r>
    </w:p>
    <w:p w:rsidR="00363189" w:rsidRDefault="00073C36">
      <w:pPr>
        <w:ind w:left="7" w:right="291" w:firstLine="0"/>
      </w:pPr>
      <w:r>
        <w:t>as´ı como la fiabilidad num´erica (que exige tanto el valor correcto como la unidad</w:t>
      </w:r>
      <w:r>
        <w:t xml:space="preserve"> correcta cuando corresponda), las proporciones por tipo de error (conceptual, de ejecuci´on y de unidad) en un subconjunto anotado por expertos, y la robustez frente a perturbaciones del prompt, como par´afrasis o cambios de formato. Para comparaciones in</w:t>
      </w:r>
      <w:r>
        <w:t>ferenciales, utilizamos intervalos de confianza bootstrap pareados y pruebas de McNemar para resultados de exactitud pareados, e incorporamos modelos IRT (2PL/3PL, segu´n corresponda) para estimar Table 2: Taxonom´ıa de errores y acciones de remediaci´on d</w:t>
      </w:r>
      <w:r>
        <w:t xml:space="preserve">irigidas utilizadas en </w:t>
      </w:r>
      <w:r>
        <w:t>M</w:t>
      </w:r>
      <w:r>
        <w:t>+Calc+Remed.</w:t>
      </w:r>
    </w:p>
    <w:tbl>
      <w:tblPr>
        <w:tblStyle w:val="TableGrid"/>
        <w:tblW w:w="9585" w:type="dxa"/>
        <w:tblInd w:w="75" w:type="dxa"/>
        <w:tblCellMar>
          <w:top w:w="2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24"/>
        <w:gridCol w:w="4922"/>
        <w:gridCol w:w="3340"/>
      </w:tblGrid>
      <w:tr w:rsidR="00363189">
        <w:trPr>
          <w:trHeight w:val="272"/>
        </w:trPr>
        <w:tc>
          <w:tcPr>
            <w:tcW w:w="1324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Clase de error</w:t>
            </w:r>
          </w:p>
        </w:tc>
        <w:tc>
          <w:tcPr>
            <w:tcW w:w="4922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Sen˜al de detecci´on</w:t>
            </w:r>
          </w:p>
        </w:tc>
        <w:tc>
          <w:tcPr>
            <w:tcW w:w="3340" w:type="dxa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6"/>
              </w:rPr>
              <w:t>Acci´on de remediaci´on (ejemplos)</w:t>
            </w:r>
          </w:p>
        </w:tc>
      </w:tr>
      <w:tr w:rsidR="00363189">
        <w:trPr>
          <w:trHeight w:val="618"/>
        </w:trPr>
        <w:tc>
          <w:tcPr>
            <w:tcW w:w="1324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Conceptual</w:t>
            </w:r>
          </w:p>
        </w:tc>
        <w:tc>
          <w:tcPr>
            <w:tcW w:w="4922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familia de f´ormulas incorrecta; solapamiento repetido en el concepto</w:t>
            </w:r>
          </w:p>
        </w:tc>
        <w:tc>
          <w:tcPr>
            <w:tcW w:w="334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imponer lista de verificaci´on conceptual; solicitar an´alisis dimensional; recuperar principio relevante; re-derivar f´ormula</w:t>
            </w:r>
          </w:p>
        </w:tc>
      </w:tr>
      <w:tr w:rsidR="00363189">
        <w:trPr>
          <w:trHeight w:val="571"/>
        </w:trPr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Ejecuci´on</w:t>
            </w:r>
          </w:p>
        </w:tc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aritm´etica intermedia inconsistente; discrepancia con la calculadora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exigir llamada a calculadora en cada paso; mostrar valores intermedios; volver a verificar sustituciones</w:t>
            </w:r>
          </w:p>
        </w:tc>
      </w:tr>
      <w:tr w:rsidR="00363189">
        <w:trPr>
          <w:trHeight w:val="606"/>
        </w:trPr>
        <w:tc>
          <w:tcPr>
            <w:tcW w:w="132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Unidad</w:t>
            </w:r>
          </w:p>
        </w:tc>
        <w:tc>
          <w:tcPr>
            <w:tcW w:w="492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magnitud plausible pero unidad inconsistente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normalizaci´on estricta de unidades; an´alisis dimensional; compuerta final de validaci´on de unid</w:t>
            </w:r>
            <w:r>
              <w:rPr>
                <w:sz w:val="16"/>
              </w:rPr>
              <w:t>ades</w:t>
            </w:r>
          </w:p>
        </w:tc>
      </w:tr>
    </w:tbl>
    <w:p w:rsidR="00363189" w:rsidRDefault="00073C36">
      <w:pPr>
        <w:ind w:left="7" w:right="291" w:firstLine="0"/>
      </w:pPr>
      <w:r>
        <w:t>la dificultad de los ´ıtems y comparar par´ametros de habilidad a nivel de sistema [18–20]. Esta estrategia inferencial combinada respalda tanto comparaciones pareadas cl´asicas como una interpretaci´on en t´erminos de rasgo latente.</w:t>
      </w:r>
    </w:p>
    <w:p w:rsidR="00363189" w:rsidRDefault="00073C36">
      <w:pPr>
        <w:spacing w:after="174"/>
        <w:ind w:left="7" w:right="291"/>
      </w:pPr>
      <w:r>
        <w:t xml:space="preserve">El an´alisis te´orico aclara c´omo las intervenciones propuestas apuntan a canales de error distintos. Sean </w:t>
      </w:r>
      <w:r>
        <w:rPr>
          <w:i/>
        </w:rPr>
        <w:t>E</w:t>
      </w:r>
      <w:r>
        <w:rPr>
          <w:i/>
          <w:vertAlign w:val="subscript"/>
        </w:rPr>
        <w:t>C</w:t>
      </w:r>
      <w:r>
        <w:t xml:space="preserve">, </w:t>
      </w:r>
      <w:r>
        <w:rPr>
          <w:i/>
        </w:rPr>
        <w:t>E</w:t>
      </w:r>
      <w:r>
        <w:rPr>
          <w:i/>
          <w:vertAlign w:val="subscript"/>
        </w:rPr>
        <w:t xml:space="preserve">E </w:t>
      </w:r>
      <w:r>
        <w:t xml:space="preserve">y </w:t>
      </w:r>
      <w:r>
        <w:rPr>
          <w:i/>
        </w:rPr>
        <w:t>E</w:t>
      </w:r>
      <w:r>
        <w:rPr>
          <w:i/>
          <w:vertAlign w:val="subscript"/>
        </w:rPr>
        <w:t xml:space="preserve">U </w:t>
      </w:r>
      <w:r>
        <w:t>los eventos de error conceptual, de ejecuci´on y de unidad, respectivamente. Si una respuesta final es correcta solo cuando ninguno de estos ocurre, entonces</w:t>
      </w:r>
    </w:p>
    <w:p w:rsidR="00363189" w:rsidRDefault="00073C36">
      <w:pPr>
        <w:spacing w:after="196" w:line="259" w:lineRule="auto"/>
        <w:ind w:left="10" w:right="284" w:hanging="10"/>
        <w:jc w:val="center"/>
      </w:pPr>
      <w:r>
        <w:t xml:space="preserve">Pr(Correct) = 1 </w:t>
      </w:r>
      <w:r>
        <w:t>−</w:t>
      </w:r>
      <w:r>
        <w:t xml:space="preserve"> </w:t>
      </w:r>
      <w:r>
        <w:t>Pr(</w:t>
      </w:r>
      <w:r>
        <w:rPr>
          <w:i/>
        </w:rPr>
        <w:t>E</w:t>
      </w:r>
      <w:r>
        <w:rPr>
          <w:i/>
          <w:vertAlign w:val="subscript"/>
        </w:rPr>
        <w:t xml:space="preserve">C </w:t>
      </w:r>
      <w:r>
        <w:t xml:space="preserve">∪ </w:t>
      </w:r>
      <w:r>
        <w:rPr>
          <w:i/>
        </w:rPr>
        <w:t>E</w:t>
      </w:r>
      <w:r>
        <w:rPr>
          <w:i/>
          <w:vertAlign w:val="subscript"/>
        </w:rPr>
        <w:t xml:space="preserve">E </w:t>
      </w:r>
      <w:r>
        <w:t xml:space="preserve">∪ </w:t>
      </w:r>
      <w:r>
        <w:rPr>
          <w:i/>
        </w:rPr>
        <w:t>E</w:t>
      </w:r>
      <w:r>
        <w:rPr>
          <w:i/>
          <w:vertAlign w:val="subscript"/>
        </w:rPr>
        <w:t>U</w:t>
      </w:r>
      <w:r>
        <w:t>)</w:t>
      </w:r>
      <w:r>
        <w:rPr>
          <w:i/>
        </w:rPr>
        <w:t>.</w:t>
      </w:r>
    </w:p>
    <w:p w:rsidR="00363189" w:rsidRDefault="00073C36">
      <w:pPr>
        <w:spacing w:after="178"/>
        <w:ind w:left="7" w:right="291" w:firstLine="0"/>
      </w:pPr>
      <w:r>
        <w:t>Aplicando la cota de la uni´on se obtiene la desigualdad conse</w:t>
      </w:r>
      <w:r>
        <w:t>rvadora</w:t>
      </w:r>
    </w:p>
    <w:p w:rsidR="00363189" w:rsidRDefault="00073C36">
      <w:pPr>
        <w:spacing w:after="196" w:line="259" w:lineRule="auto"/>
        <w:ind w:left="10" w:right="284" w:hanging="10"/>
        <w:jc w:val="center"/>
      </w:pPr>
      <w:r>
        <w:t xml:space="preserve">Pr(Correct) </w:t>
      </w:r>
      <w:r>
        <w:t xml:space="preserve">≥ </w:t>
      </w:r>
      <w:r>
        <w:t xml:space="preserve">1 </w:t>
      </w:r>
      <w:r>
        <w:t>−</w:t>
      </w:r>
      <w:r>
        <w:t xml:space="preserve"> </w:t>
      </w:r>
      <w:r>
        <w:t>(Pr(</w:t>
      </w:r>
      <w:r>
        <w:rPr>
          <w:i/>
        </w:rPr>
        <w:t>E</w:t>
      </w:r>
      <w:r>
        <w:rPr>
          <w:i/>
          <w:vertAlign w:val="subscript"/>
        </w:rPr>
        <w:t>C</w:t>
      </w:r>
      <w:r>
        <w:t>) + Pr(</w:t>
      </w:r>
      <w:r>
        <w:rPr>
          <w:i/>
        </w:rPr>
        <w:t>E</w:t>
      </w:r>
      <w:r>
        <w:rPr>
          <w:i/>
          <w:vertAlign w:val="subscript"/>
        </w:rPr>
        <w:t>E</w:t>
      </w:r>
      <w:r>
        <w:t>) + Pr(</w:t>
      </w:r>
      <w:r>
        <w:rPr>
          <w:i/>
        </w:rPr>
        <w:t>E</w:t>
      </w:r>
      <w:r>
        <w:rPr>
          <w:i/>
          <w:vertAlign w:val="subscript"/>
        </w:rPr>
        <w:t>U</w:t>
      </w:r>
      <w:r>
        <w:t>))</w:t>
      </w:r>
      <w:r>
        <w:rPr>
          <w:i/>
        </w:rPr>
        <w:t>.</w:t>
      </w:r>
    </w:p>
    <w:p w:rsidR="00363189" w:rsidRDefault="00073C36">
      <w:pPr>
        <w:ind w:left="7" w:right="291" w:firstLine="0"/>
      </w:pPr>
      <w:r>
        <w:t>Esta descomposici´on hace expl´ıcita la l´ogica de intervenci´on: se espera que la obligatoriedad del uso de calculadora reduzca Pr(</w:t>
      </w:r>
      <w:r>
        <w:rPr>
          <w:i/>
        </w:rPr>
        <w:t>E</w:t>
      </w:r>
      <w:r>
        <w:rPr>
          <w:i/>
          <w:vertAlign w:val="subscript"/>
        </w:rPr>
        <w:t>E</w:t>
      </w:r>
      <w:r>
        <w:t>) directamente y Pr(</w:t>
      </w:r>
      <w:r>
        <w:rPr>
          <w:i/>
        </w:rPr>
        <w:t>E</w:t>
      </w:r>
      <w:r>
        <w:rPr>
          <w:i/>
          <w:vertAlign w:val="subscript"/>
        </w:rPr>
        <w:t>U</w:t>
      </w:r>
      <w:r>
        <w:t>) de manera secundaria mediante normalizaci´on</w:t>
      </w:r>
      <w:r>
        <w:t xml:space="preserve"> de unidades y verificaciones dimensionales, mientras que la remediaci´on informada por solapamiento est´a destinada a reducir componentes persistentes de Pr(</w:t>
      </w:r>
      <w:r>
        <w:rPr>
          <w:i/>
        </w:rPr>
        <w:t>E</w:t>
      </w:r>
      <w:r>
        <w:rPr>
          <w:i/>
          <w:vertAlign w:val="subscript"/>
        </w:rPr>
        <w:t>C</w:t>
      </w:r>
      <w:r>
        <w:t>). As´ı, el marco no trata todos los errores como homog´eneos; asigna cada intervenci´on al meca</w:t>
      </w:r>
      <w:r>
        <w:t>nismo de error que est´a disen˜ada para suprimir.</w:t>
      </w:r>
    </w:p>
    <w:p w:rsidR="00363189" w:rsidRDefault="00073C36">
      <w:pPr>
        <w:ind w:left="7" w:right="291"/>
      </w:pPr>
      <w:r>
        <w:t>La puntuaci´on de solapamiento tambi´en puede interpretarse te´oricamente como un proxy de estructura conceptual latente. Sup´ongase que un subconjunto de ´ıtems est´a influido por un factor de concepto err</w:t>
      </w:r>
      <w:r>
        <w:t xml:space="preserve">´oneo no observado </w:t>
      </w:r>
      <w:r>
        <w:rPr>
          <w:i/>
        </w:rPr>
        <w:t xml:space="preserve">Z </w:t>
      </w:r>
      <w:r>
        <w:t xml:space="preserve">que incrementa la probabilidad de error conceptual en mu´ltiples variantes del modelo. Entonces, a medida que aumentan la varianza de </w:t>
      </w:r>
      <w:r>
        <w:rPr>
          <w:i/>
        </w:rPr>
        <w:t xml:space="preserve">Z </w:t>
      </w:r>
      <w:r>
        <w:t xml:space="preserve">y las cargas espec´ıficas de cada variante sobre </w:t>
      </w:r>
      <w:r>
        <w:rPr>
          <w:i/>
        </w:rPr>
        <w:t>Z</w:t>
      </w:r>
      <w:r>
        <w:t>, los fallos compartidos entre variantes se vuelv</w:t>
      </w:r>
      <w:r>
        <w:t>en m´as probables, y el solapamiento de errores observado deber´ıa aumentar en consecuencia. En la pr´actica, el agrupamiento basado en solapamiento proporciona por tanto una hip´otesis falsable: los ´ıtems que fallan conjuntamente entre variantes deber´ıa</w:t>
      </w:r>
      <w:r>
        <w:t>n estar enriquecidos en modos de fallo conceptual compartidos y deber´ıan beneficiarse de forma desproporcionada de una remediaci´on centrada en conceptos, en lugar de correcciones u´nicamente aritm´eticas.</w:t>
      </w:r>
    </w:p>
    <w:p w:rsidR="00363189" w:rsidRDefault="00073C36">
      <w:pPr>
        <w:ind w:left="7" w:right="291"/>
      </w:pPr>
      <w:r>
        <w:t>Debido a que el contenido de ex´amenes propietari</w:t>
      </w:r>
      <w:r>
        <w:t xml:space="preserve">os no puede reproducirse y a que un estudio emp´ırico completo requiere una pila de herramientas implementada y un benchmark curado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, incluimos una simulaci´on Monte Carlo para demostrar la canalizaci´on de an´alisis prevista y el formato de reporte. Est</w:t>
      </w:r>
      <w:r>
        <w:t>as simulaciones expl´ıcitamente no constituyen afirmaciones sobre ningu´n modelo comercial en particular. Su prop´osito es metodol´ogico: mostrar c´omo se descompondr´ıan las mejoras en reducciones por tipo de error, c´omo se reportar´ıan las estad´ısticas</w:t>
      </w:r>
      <w:r>
        <w:t xml:space="preserve"> de solapamiento y c´omo se presentar´ıan las comparaciones entre sistemas en un marco reproducible.</w:t>
      </w:r>
    </w:p>
    <w:p w:rsidR="00363189" w:rsidRDefault="00073C36">
      <w:pPr>
        <w:ind w:left="7" w:right="291"/>
      </w:pPr>
      <w:r>
        <w:t xml:space="preserve">En la simulaci´on, generamos </w:t>
      </w:r>
      <w:r>
        <w:rPr>
          <w:i/>
        </w:rPr>
        <w:t xml:space="preserve">N </w:t>
      </w:r>
      <w:r>
        <w:t xml:space="preserve">= 2000 ´ıtems en cinco categor´ıas de habilidades con dificultad conceptual latente y complejidad de ejecuci´on. Al sistema </w:t>
      </w:r>
      <w:r>
        <w:t xml:space="preserve">base </w:t>
      </w:r>
      <w:r>
        <w:t xml:space="preserve">M </w:t>
      </w:r>
      <w:r>
        <w:t xml:space="preserve">se le asignan propensiones no triviales a errores conceptuales, de ejecuci´on y de unidad. El sistema con calculadora obligatoria </w:t>
      </w:r>
      <w:r>
        <w:t>M</w:t>
      </w:r>
      <w:r>
        <w:t xml:space="preserve">+Calc reduce errores de ejecuci´on y de unidad, mientras que </w:t>
      </w:r>
      <w:r>
        <w:t>M</w:t>
      </w:r>
      <w:r>
        <w:t>+Calc+Remed reduce adem´as errores conceptuales, especia</w:t>
      </w:r>
      <w:r>
        <w:t>lmente en ´ıtems m´as dif´ıciles, imitando el efecto previsto de la remediaci´on guiada por solapamiento. La Figura 1 proporciona un esquema del flujo completo de evaluaci´on, desde la construcci´on del benchmark hasta el an´alisis inferencial y el mapeo d</w:t>
      </w:r>
      <w:r>
        <w:t>e conceptos err´oneos.</w:t>
      </w:r>
    </w:p>
    <w:p w:rsidR="00363189" w:rsidRDefault="00073C36">
      <w:pPr>
        <w:ind w:left="7" w:right="291"/>
      </w:pPr>
      <w:r>
        <w:t xml:space="preserve">Los resultados globales se resumen en la Tabla 3. El patr´on simulado concuerda con la hip´otesis de disen˜o: </w:t>
      </w:r>
      <w:r>
        <w:t>M</w:t>
      </w:r>
      <w:r>
        <w:t>+Calc mejora sustancialmente la exactitud con respecto a la l´ınea base principalmente mediante reducciones</w:t>
      </w:r>
    </w:p>
    <w:p w:rsidR="00363189" w:rsidRDefault="00073C36">
      <w:pPr>
        <w:spacing w:after="303" w:line="259" w:lineRule="auto"/>
        <w:ind w:left="2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16179" cy="539955"/>
                <wp:effectExtent l="0" t="0" r="0" b="0"/>
                <wp:docPr id="16318" name="Group 16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179" cy="539955"/>
                          <a:chOff x="0" y="0"/>
                          <a:chExt cx="6116179" cy="539955"/>
                        </a:xfrm>
                      </wpg:grpSpPr>
                      <wps:wsp>
                        <wps:cNvPr id="624" name="Shape 624"/>
                        <wps:cNvSpPr/>
                        <wps:spPr>
                          <a:xfrm>
                            <a:off x="0" y="60513"/>
                            <a:ext cx="981586" cy="418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586" h="418929">
                                <a:moveTo>
                                  <a:pt x="939692" y="0"/>
                                </a:moveTo>
                                <a:lnTo>
                                  <a:pt x="41894" y="0"/>
                                </a:lnTo>
                                <a:cubicBezTo>
                                  <a:pt x="18756" y="0"/>
                                  <a:pt x="0" y="18756"/>
                                  <a:pt x="0" y="41894"/>
                                </a:cubicBezTo>
                                <a:lnTo>
                                  <a:pt x="0" y="377035"/>
                                </a:lnTo>
                                <a:cubicBezTo>
                                  <a:pt x="0" y="400173"/>
                                  <a:pt x="18756" y="418929"/>
                                  <a:pt x="41894" y="418929"/>
                                </a:cubicBezTo>
                                <a:lnTo>
                                  <a:pt x="939692" y="418929"/>
                                </a:lnTo>
                                <a:cubicBezTo>
                                  <a:pt x="962829" y="418929"/>
                                  <a:pt x="981586" y="400173"/>
                                  <a:pt x="981586" y="377035"/>
                                </a:cubicBezTo>
                                <a:lnTo>
                                  <a:pt x="981586" y="41894"/>
                                </a:lnTo>
                                <a:cubicBezTo>
                                  <a:pt x="981586" y="18756"/>
                                  <a:pt x="962829" y="0"/>
                                  <a:pt x="939692" y="0"/>
                                </a:cubicBezTo>
                                <a:close/>
                              </a:path>
                            </a:pathLst>
                          </a:custGeom>
                          <a:ln w="418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424311" y="94312"/>
                            <a:ext cx="115322" cy="123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511019" y="131824"/>
                            <a:ext cx="51054" cy="8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2"/>
                                </w:rPr>
                                <w:t>q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8" name="Rectangle 12488"/>
                        <wps:cNvSpPr/>
                        <wps:spPr>
                          <a:xfrm>
                            <a:off x="64021" y="219990"/>
                            <a:ext cx="1173956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´ıtemscuantitativos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7" name="Rectangle 12487"/>
                        <wps:cNvSpPr/>
                        <wps:spPr>
                          <a:xfrm>
                            <a:off x="34916" y="219990"/>
                            <a:ext cx="54171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59936" y="345667"/>
                            <a:ext cx="1146153" cy="12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deautor´ıaabierta)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Shape 630"/>
                        <wps:cNvSpPr/>
                        <wps:spPr>
                          <a:xfrm>
                            <a:off x="1283772" y="126263"/>
                            <a:ext cx="1577397" cy="287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97" h="287429">
                                <a:moveTo>
                                  <a:pt x="1535504" y="0"/>
                                </a:moveTo>
                                <a:lnTo>
                                  <a:pt x="41894" y="0"/>
                                </a:lnTo>
                                <a:cubicBezTo>
                                  <a:pt x="18756" y="0"/>
                                  <a:pt x="0" y="18756"/>
                                  <a:pt x="0" y="41894"/>
                                </a:cubicBezTo>
                                <a:lnTo>
                                  <a:pt x="0" y="245535"/>
                                </a:lnTo>
                                <a:cubicBezTo>
                                  <a:pt x="0" y="268673"/>
                                  <a:pt x="18756" y="287429"/>
                                  <a:pt x="41894" y="287429"/>
                                </a:cubicBezTo>
                                <a:lnTo>
                                  <a:pt x="1535504" y="287429"/>
                                </a:lnTo>
                                <a:cubicBezTo>
                                  <a:pt x="1558641" y="287429"/>
                                  <a:pt x="1577397" y="268673"/>
                                  <a:pt x="1577397" y="245535"/>
                                </a:cubicBezTo>
                                <a:lnTo>
                                  <a:pt x="1577397" y="41894"/>
                                </a:lnTo>
                                <a:cubicBezTo>
                                  <a:pt x="1577397" y="18756"/>
                                  <a:pt x="1558641" y="0"/>
                                  <a:pt x="1535504" y="0"/>
                                </a:cubicBezTo>
                                <a:close/>
                              </a:path>
                            </a:pathLst>
                          </a:custGeom>
                          <a:ln w="418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1874035" y="160058"/>
                            <a:ext cx="527757" cy="12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Sistemas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1318667" y="279869"/>
                            <a:ext cx="167278" cy="131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1444440" y="285735"/>
                            <a:ext cx="38696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1525901" y="279869"/>
                            <a:ext cx="167278" cy="131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9" name="Rectangle 12489"/>
                        <wps:cNvSpPr/>
                        <wps:spPr>
                          <a:xfrm>
                            <a:off x="1651674" y="285735"/>
                            <a:ext cx="108343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0" name="Rectangle 12490"/>
                        <wps:cNvSpPr/>
                        <wps:spPr>
                          <a:xfrm>
                            <a:off x="1733134" y="285735"/>
                            <a:ext cx="270843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Calc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1936776" y="285735"/>
                            <a:ext cx="38696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2018237" y="279869"/>
                            <a:ext cx="167278" cy="131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1" name="Rectangle 12491"/>
                        <wps:cNvSpPr/>
                        <wps:spPr>
                          <a:xfrm>
                            <a:off x="2144010" y="285735"/>
                            <a:ext cx="108343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2" name="Rectangle 12492"/>
                        <wps:cNvSpPr/>
                        <wps:spPr>
                          <a:xfrm>
                            <a:off x="2225471" y="285735"/>
                            <a:ext cx="798991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Calc+Remed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Shape 640"/>
                        <wps:cNvSpPr/>
                        <wps:spPr>
                          <a:xfrm>
                            <a:off x="3163356" y="10183"/>
                            <a:ext cx="1060427" cy="519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427" h="519590">
                                <a:moveTo>
                                  <a:pt x="1018534" y="0"/>
                                </a:moveTo>
                                <a:lnTo>
                                  <a:pt x="41894" y="0"/>
                                </a:lnTo>
                                <a:cubicBezTo>
                                  <a:pt x="18756" y="0"/>
                                  <a:pt x="0" y="18756"/>
                                  <a:pt x="0" y="41894"/>
                                </a:cubicBezTo>
                                <a:lnTo>
                                  <a:pt x="0" y="477696"/>
                                </a:lnTo>
                                <a:cubicBezTo>
                                  <a:pt x="0" y="500834"/>
                                  <a:pt x="18756" y="519590"/>
                                  <a:pt x="41894" y="519590"/>
                                </a:cubicBezTo>
                                <a:lnTo>
                                  <a:pt x="1018534" y="519590"/>
                                </a:lnTo>
                                <a:cubicBezTo>
                                  <a:pt x="1041671" y="519590"/>
                                  <a:pt x="1060427" y="500834"/>
                                  <a:pt x="1060427" y="477696"/>
                                </a:cubicBezTo>
                                <a:lnTo>
                                  <a:pt x="1060427" y="41894"/>
                                </a:lnTo>
                                <a:cubicBezTo>
                                  <a:pt x="1060427" y="18756"/>
                                  <a:pt x="1041671" y="0"/>
                                  <a:pt x="1018534" y="0"/>
                                </a:cubicBezTo>
                                <a:close/>
                              </a:path>
                            </a:pathLst>
                          </a:custGeom>
                          <a:ln w="418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3496720" y="45145"/>
                            <a:ext cx="523509" cy="12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M´etricas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3467338" y="170823"/>
                            <a:ext cx="601695" cy="12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Exactitud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3363180" y="296501"/>
                            <a:ext cx="878792" cy="12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Valor+Unidad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3198227" y="422179"/>
                            <a:ext cx="1317443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Taxonom´ıadeerrores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Shape 646"/>
                        <wps:cNvSpPr/>
                        <wps:spPr>
                          <a:xfrm>
                            <a:off x="4525970" y="0"/>
                            <a:ext cx="1590209" cy="53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209" h="539955">
                                <a:moveTo>
                                  <a:pt x="1548315" y="0"/>
                                </a:moveTo>
                                <a:lnTo>
                                  <a:pt x="41894" y="0"/>
                                </a:lnTo>
                                <a:cubicBezTo>
                                  <a:pt x="18756" y="0"/>
                                  <a:pt x="0" y="18756"/>
                                  <a:pt x="0" y="41894"/>
                                </a:cubicBezTo>
                                <a:lnTo>
                                  <a:pt x="0" y="498061"/>
                                </a:lnTo>
                                <a:cubicBezTo>
                                  <a:pt x="0" y="521199"/>
                                  <a:pt x="18756" y="539955"/>
                                  <a:pt x="41894" y="539955"/>
                                </a:cubicBezTo>
                                <a:lnTo>
                                  <a:pt x="1548315" y="539955"/>
                                </a:lnTo>
                                <a:cubicBezTo>
                                  <a:pt x="1571453" y="539955"/>
                                  <a:pt x="1590209" y="521199"/>
                                  <a:pt x="1590209" y="498061"/>
                                </a:cubicBezTo>
                                <a:lnTo>
                                  <a:pt x="1590209" y="41894"/>
                                </a:lnTo>
                                <a:cubicBezTo>
                                  <a:pt x="1590209" y="18756"/>
                                  <a:pt x="1571453" y="0"/>
                                  <a:pt x="1548315" y="0"/>
                                </a:cubicBezTo>
                                <a:close/>
                              </a:path>
                            </a:pathLst>
                          </a:custGeom>
                          <a:ln w="418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5096857" y="34958"/>
                            <a:ext cx="596262" cy="12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Inferencia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4842590" y="160635"/>
                            <a:ext cx="1272632" cy="123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McNemar/Bootstrap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4950669" y="286314"/>
                            <a:ext cx="985129" cy="12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Calibraci´onIRT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4560822" y="412003"/>
                            <a:ext cx="2022145" cy="123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3189" w:rsidRDefault="00073C36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Conglomeradosporsolapamiento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Shape 652"/>
                        <wps:cNvSpPr/>
                        <wps:spPr>
                          <a:xfrm>
                            <a:off x="983680" y="269977"/>
                            <a:ext cx="233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62">
                                <a:moveTo>
                                  <a:pt x="0" y="0"/>
                                </a:moveTo>
                                <a:lnTo>
                                  <a:pt x="233062" y="0"/>
                                </a:lnTo>
                              </a:path>
                            </a:pathLst>
                          </a:custGeom>
                          <a:ln w="83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1216742" y="251350"/>
                            <a:ext cx="47662" cy="37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2" h="37256">
                                <a:moveTo>
                                  <a:pt x="0" y="0"/>
                                </a:moveTo>
                                <a:cubicBezTo>
                                  <a:pt x="16080" y="8951"/>
                                  <a:pt x="41809" y="17176"/>
                                  <a:pt x="47662" y="18628"/>
                                </a:cubicBezTo>
                                <a:cubicBezTo>
                                  <a:pt x="41809" y="20079"/>
                                  <a:pt x="16080" y="28305"/>
                                  <a:pt x="0" y="372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3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863264" y="269977"/>
                            <a:ext cx="233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62">
                                <a:moveTo>
                                  <a:pt x="0" y="0"/>
                                </a:moveTo>
                                <a:lnTo>
                                  <a:pt x="233062" y="0"/>
                                </a:lnTo>
                              </a:path>
                            </a:pathLst>
                          </a:custGeom>
                          <a:ln w="83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96326" y="251350"/>
                            <a:ext cx="47662" cy="37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2" h="37256">
                                <a:moveTo>
                                  <a:pt x="0" y="0"/>
                                </a:moveTo>
                                <a:cubicBezTo>
                                  <a:pt x="16080" y="8951"/>
                                  <a:pt x="41809" y="17176"/>
                                  <a:pt x="47662" y="18628"/>
                                </a:cubicBezTo>
                                <a:cubicBezTo>
                                  <a:pt x="41809" y="20079"/>
                                  <a:pt x="16080" y="28305"/>
                                  <a:pt x="0" y="372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3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4225878" y="269977"/>
                            <a:ext cx="233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62">
                                <a:moveTo>
                                  <a:pt x="0" y="0"/>
                                </a:moveTo>
                                <a:lnTo>
                                  <a:pt x="233062" y="0"/>
                                </a:lnTo>
                              </a:path>
                            </a:pathLst>
                          </a:custGeom>
                          <a:ln w="83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4458940" y="251350"/>
                            <a:ext cx="47662" cy="37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62" h="37256">
                                <a:moveTo>
                                  <a:pt x="0" y="0"/>
                                </a:moveTo>
                                <a:cubicBezTo>
                                  <a:pt x="16080" y="8951"/>
                                  <a:pt x="41809" y="17176"/>
                                  <a:pt x="47662" y="18628"/>
                                </a:cubicBezTo>
                                <a:cubicBezTo>
                                  <a:pt x="41809" y="20079"/>
                                  <a:pt x="16080" y="28305"/>
                                  <a:pt x="0" y="372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37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318" style="width:481.589pt;height:42.5161pt;mso-position-horizontal-relative:char;mso-position-vertical-relative:line" coordsize="61161,5399">
                <v:shape id="Shape 624" style="position:absolute;width:9815;height:4189;left:0;top:605;" coordsize="981586,418929" path="m939692,0l41894,0c18756,0,0,18756,0,41894l0,377035c0,400173,18756,418929,41894,418929l939692,418929c962829,418929,981586,400173,981586,377035l981586,41894c981586,18756,962829,0,939692,0x">
                  <v:stroke weight="0.329862pt" endcap="flat" joinstyle="miter" miterlimit="10" on="true" color="#000000"/>
                  <v:fill on="false" color="#000000" opacity="0"/>
                </v:shape>
                <v:rect id="Rectangle 626" style="position:absolute;width:1153;height:1236;left:4243;top: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627" style="position:absolute;width:510;height:865;left:5110;top:1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2"/>
                          </w:rPr>
                          <w:t xml:space="preserve">q</w:t>
                        </w:r>
                      </w:p>
                    </w:txbxContent>
                  </v:textbox>
                </v:rect>
                <v:rect id="Rectangle 12488" style="position:absolute;width:11739;height:1236;left:640;top:21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´ıtemscuantitativos</w:t>
                        </w:r>
                      </w:p>
                    </w:txbxContent>
                  </v:textbox>
                </v:rect>
                <v:rect id="Rectangle 12487" style="position:absolute;width:541;height:1236;left:349;top:21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629" style="position:absolute;width:11461;height:1236;left:599;top:34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deautor´ıaabierta)</w:t>
                        </w:r>
                      </w:p>
                    </w:txbxContent>
                  </v:textbox>
                </v:rect>
                <v:shape id="Shape 630" style="position:absolute;width:15773;height:2874;left:12837;top:1262;" coordsize="1577397,287429" path="m1535504,0l41894,0c18756,0,0,18756,0,41894l0,245535c0,268673,18756,287429,41894,287429l1535504,287429c1558641,287429,1577397,268673,1577397,245535l1577397,41894c1577397,18756,1558641,0,1535504,0x">
                  <v:stroke weight="0.329862pt" endcap="flat" joinstyle="miter" miterlimit="10" on="true" color="#000000"/>
                  <v:fill on="false" color="#000000" opacity="0"/>
                </v:shape>
                <v:rect id="Rectangle 632" style="position:absolute;width:5277;height:1236;left:18740;top:1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Sistemas</w:t>
                        </w:r>
                      </w:p>
                    </w:txbxContent>
                  </v:textbox>
                </v:rect>
                <v:rect id="Rectangle 633" style="position:absolute;width:1672;height:1314;left:13186;top:2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634" style="position:absolute;width:386;height:1236;left:14444;top:2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635" style="position:absolute;width:1672;height:1314;left:15259;top:2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2489" style="position:absolute;width:1083;height:1236;left:16516;top:2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12490" style="position:absolute;width:2708;height:1236;left:17331;top:2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Calc</w:t>
                        </w:r>
                      </w:p>
                    </w:txbxContent>
                  </v:textbox>
                </v:rect>
                <v:rect id="Rectangle 637" style="position:absolute;width:386;height:1236;left:19367;top:2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i w:val="1"/>
                            <w:sz w:val="16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638" style="position:absolute;width:1672;height:1314;left:20182;top:2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mbria" w:hAnsi="Cambria" w:eastAsia="Cambria" w:ascii="Cambria"/>
                            <w:sz w:val="16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12491" style="position:absolute;width:1083;height:1236;left:21440;top:2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12492" style="position:absolute;width:7989;height:1236;left:22254;top:2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Calc+Remed</w:t>
                        </w:r>
                      </w:p>
                    </w:txbxContent>
                  </v:textbox>
                </v:rect>
                <v:shape id="Shape 640" style="position:absolute;width:10604;height:5195;left:31633;top:101;" coordsize="1060427,519590" path="m1018534,0l41894,0c18756,0,0,18756,0,41894l0,477696c0,500834,18756,519590,41894,519590l1018534,519590c1041671,519590,1060427,500834,1060427,477696l1060427,41894c1060427,18756,1041671,0,1018534,0x">
                  <v:stroke weight="0.329862pt" endcap="flat" joinstyle="miter" miterlimit="10" on="true" color="#000000"/>
                  <v:fill on="false" color="#000000" opacity="0"/>
                </v:shape>
                <v:rect id="Rectangle 642" style="position:absolute;width:5235;height:1236;left:34967;top:4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M´etricas</w:t>
                        </w:r>
                      </w:p>
                    </w:txbxContent>
                  </v:textbox>
                </v:rect>
                <v:rect id="Rectangle 643" style="position:absolute;width:6016;height:1236;left:34673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Exactitud</w:t>
                        </w:r>
                      </w:p>
                    </w:txbxContent>
                  </v:textbox>
                </v:rect>
                <v:rect id="Rectangle 644" style="position:absolute;width:8787;height:1236;left:33631;top:2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Valor+Unidad</w:t>
                        </w:r>
                      </w:p>
                    </w:txbxContent>
                  </v:textbox>
                </v:rect>
                <v:rect id="Rectangle 645" style="position:absolute;width:13174;height:1236;left:31982;top:4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Taxonom´ıadeerrores</w:t>
                        </w:r>
                      </w:p>
                    </w:txbxContent>
                  </v:textbox>
                </v:rect>
                <v:shape id="Shape 646" style="position:absolute;width:15902;height:5399;left:45259;top:0;" coordsize="1590209,539955" path="m1548315,0l41894,0c18756,0,0,18756,0,41894l0,498061c0,521199,18756,539955,41894,539955l1548315,539955c1571453,539955,1590209,521199,1590209,498061l1590209,41894c1590209,18756,1571453,0,1548315,0x">
                  <v:stroke weight="0.329862pt" endcap="flat" joinstyle="miter" miterlimit="10" on="true" color="#000000"/>
                  <v:fill on="false" color="#000000" opacity="0"/>
                </v:shape>
                <v:rect id="Rectangle 648" style="position:absolute;width:5962;height:1236;left:50968;top:3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Inferencia</w:t>
                        </w:r>
                      </w:p>
                    </w:txbxContent>
                  </v:textbox>
                </v:rect>
                <v:rect id="Rectangle 649" style="position:absolute;width:12726;height:1236;left:48425;top:16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McNemar/Bootstrap</w:t>
                        </w:r>
                      </w:p>
                    </w:txbxContent>
                  </v:textbox>
                </v:rect>
                <v:rect id="Rectangle 650" style="position:absolute;width:9851;height:1236;left:49506;top:2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Calibraci´onIRT</w:t>
                        </w:r>
                      </w:p>
                    </w:txbxContent>
                  </v:textbox>
                </v:rect>
                <v:rect id="Rectangle 651" style="position:absolute;width:20221;height:1236;left:45608;top:4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Conglomeradosporsolapamiento</w:t>
                        </w:r>
                      </w:p>
                    </w:txbxContent>
                  </v:textbox>
                </v:rect>
                <v:shape id="Shape 652" style="position:absolute;width:2330;height:0;left:9836;top:2699;" coordsize="233062,0" path="m0,0l233062,0">
                  <v:stroke weight="0.659733pt" endcap="flat" joinstyle="miter" miterlimit="10" on="true" color="#000000"/>
                  <v:fill on="false" color="#000000" opacity="0"/>
                </v:shape>
                <v:shape id="Shape 653" style="position:absolute;width:476;height:372;left:12167;top:2513;" coordsize="47662,37256" path="m0,0c16080,8951,41809,17176,47662,18628c41809,20079,16080,28305,0,37256l0,0x">
                  <v:stroke weight="0.659733pt" endcap="flat" joinstyle="miter" miterlimit="10" on="true" color="#000000"/>
                  <v:fill on="true" color="#000000"/>
                </v:shape>
                <v:shape id="Shape 654" style="position:absolute;width:2330;height:0;left:28632;top:2699;" coordsize="233062,0" path="m0,0l233062,0">
                  <v:stroke weight="0.659733pt" endcap="flat" joinstyle="miter" miterlimit="10" on="true" color="#000000"/>
                  <v:fill on="false" color="#000000" opacity="0"/>
                </v:shape>
                <v:shape id="Shape 655" style="position:absolute;width:476;height:372;left:30963;top:2513;" coordsize="47662,37256" path="m0,0c16080,8951,41809,17176,47662,18628c41809,20079,16080,28305,0,37256l0,0x">
                  <v:stroke weight="0.659733pt" endcap="flat" joinstyle="miter" miterlimit="10" on="true" color="#000000"/>
                  <v:fill on="true" color="#000000"/>
                </v:shape>
                <v:shape id="Shape 656" style="position:absolute;width:2330;height:0;left:42258;top:2699;" coordsize="233062,0" path="m0,0l233062,0">
                  <v:stroke weight="0.659733pt" endcap="flat" joinstyle="miter" miterlimit="10" on="true" color="#000000"/>
                  <v:fill on="false" color="#000000" opacity="0"/>
                </v:shape>
                <v:shape id="Shape 657" style="position:absolute;width:476;height:372;left:44589;top:2513;" coordsize="47662,37256" path="m0,0c16080,8951,41809,17176,47662,18628c41809,20079,16080,28305,0,37256l0,0x">
                  <v:stroke weight="0.659733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:rsidR="00363189" w:rsidRDefault="00073C36">
      <w:pPr>
        <w:spacing w:after="377"/>
        <w:ind w:left="7" w:right="291" w:firstLine="0"/>
      </w:pPr>
      <w:r>
        <w:t xml:space="preserve">Figure 1: Canalizaci´on de evaluaci´on propuesta: construcci´on del benchmark </w:t>
      </w:r>
      <w:r>
        <w:t xml:space="preserve">→ </w:t>
      </w:r>
      <w:r>
        <w:t xml:space="preserve">evaluaci´on del sistema </w:t>
      </w:r>
      <w:r>
        <w:t xml:space="preserve">→ </w:t>
      </w:r>
      <w:r>
        <w:t xml:space="preserve">c´alculo de m´etricas </w:t>
      </w:r>
      <w:r>
        <w:t xml:space="preserve">→ </w:t>
      </w:r>
      <w:r>
        <w:t>an´alisis inferencial y mapeo de conceptos err´oneos.</w:t>
      </w:r>
    </w:p>
    <w:p w:rsidR="00363189" w:rsidRDefault="00073C36">
      <w:pPr>
        <w:spacing w:after="329"/>
        <w:ind w:left="7" w:right="291" w:firstLine="0"/>
      </w:pPr>
      <w:r>
        <w:t xml:space="preserve">en errores de ejecuci´on y de unidad, mientras que </w:t>
      </w:r>
      <w:r>
        <w:t>M</w:t>
      </w:r>
      <w:r>
        <w:t>+Calc+Remed produce ganancias adicionales al reducir errores conceptuales. Cabe destacar que el modelo mejorado con remediaci´on puede mostrar una pequen˜a redistribuci´on de errores de ejecuci´on en algunas simulaciones porque las intervenciones centradas</w:t>
      </w:r>
      <w:r>
        <w:t xml:space="preserve"> en conceptos pueden alterar las trayectorias de soluci´on y exponer ramas computacionales diferentes, lo que subraya el valor de la descomposici´on por tipo de error en lugar de depender solo de la exactitud.</w:t>
      </w:r>
    </w:p>
    <w:p w:rsidR="00363189" w:rsidRDefault="00073C36">
      <w:pPr>
        <w:ind w:left="7" w:right="291" w:firstLine="0"/>
      </w:pPr>
      <w:r>
        <w:t>Table 3: Desempen˜o global (simulaci´on). “Err</w:t>
      </w:r>
      <w:r>
        <w:t>or de unidad” denota una unidad incorrecta dada una computaci´on num´erica por lo dem´as correcta.</w:t>
      </w:r>
    </w:p>
    <w:tbl>
      <w:tblPr>
        <w:tblStyle w:val="TableGrid"/>
        <w:tblW w:w="9973" w:type="dxa"/>
        <w:tblInd w:w="22" w:type="dxa"/>
        <w:tblCellMar>
          <w:top w:w="3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1666"/>
        <w:gridCol w:w="2379"/>
        <w:gridCol w:w="2089"/>
        <w:gridCol w:w="2063"/>
      </w:tblGrid>
      <w:tr w:rsidR="00363189">
        <w:trPr>
          <w:trHeight w:val="342"/>
        </w:trPr>
        <w:tc>
          <w:tcPr>
            <w:tcW w:w="177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Sistema</w:t>
            </w:r>
          </w:p>
        </w:tc>
        <w:tc>
          <w:tcPr>
            <w:tcW w:w="166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Exactitud (%)</w:t>
            </w:r>
          </w:p>
        </w:tc>
        <w:tc>
          <w:tcPr>
            <w:tcW w:w="237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Error conceptual (%)</w:t>
            </w:r>
          </w:p>
        </w:tc>
        <w:tc>
          <w:tcPr>
            <w:tcW w:w="208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Error de ejec. (%)</w:t>
            </w:r>
          </w:p>
        </w:tc>
        <w:tc>
          <w:tcPr>
            <w:tcW w:w="206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</w:pPr>
            <w:r>
              <w:rPr>
                <w:b/>
              </w:rPr>
              <w:t>Error de unidad (%)</w:t>
            </w:r>
          </w:p>
        </w:tc>
      </w:tr>
      <w:tr w:rsidR="00363189">
        <w:trPr>
          <w:trHeight w:val="292"/>
        </w:trPr>
        <w:tc>
          <w:tcPr>
            <w:tcW w:w="17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 xml:space="preserve">M </w:t>
            </w:r>
            <w:r>
              <w:t>(l´ınea base)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536" w:firstLine="0"/>
              <w:jc w:val="left"/>
            </w:pPr>
            <w:r>
              <w:t>73.7</w:t>
            </w:r>
          </w:p>
        </w:tc>
        <w:tc>
          <w:tcPr>
            <w:tcW w:w="23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right="239" w:firstLine="0"/>
              <w:jc w:val="center"/>
            </w:pPr>
            <w:r>
              <w:t>11.8</w:t>
            </w:r>
          </w:p>
        </w:tc>
        <w:tc>
          <w:tcPr>
            <w:tcW w:w="20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748" w:firstLine="0"/>
              <w:jc w:val="left"/>
            </w:pPr>
            <w:r>
              <w:t>11.1</w:t>
            </w:r>
          </w:p>
        </w:tc>
        <w:tc>
          <w:tcPr>
            <w:tcW w:w="20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5.0</w:t>
            </w:r>
          </w:p>
        </w:tc>
      </w:tr>
      <w:tr w:rsidR="00363189">
        <w:trPr>
          <w:trHeight w:val="239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M</w:t>
            </w:r>
            <w:r>
              <w:t>+Calc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536" w:firstLine="0"/>
              <w:jc w:val="left"/>
            </w:pPr>
            <w:r>
              <w:t>82.0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right="239" w:firstLine="0"/>
              <w:jc w:val="center"/>
            </w:pPr>
            <w:r>
              <w:t>10.9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right="239" w:firstLine="0"/>
              <w:jc w:val="center"/>
            </w:pPr>
            <w:r>
              <w:t>3.6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3.8</w:t>
            </w:r>
          </w:p>
        </w:tc>
      </w:tr>
      <w:tr w:rsidR="00363189">
        <w:trPr>
          <w:trHeight w:val="289"/>
        </w:trPr>
        <w:tc>
          <w:tcPr>
            <w:tcW w:w="177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M</w:t>
            </w:r>
            <w:r>
              <w:t>+Calc+Remed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536" w:firstLine="0"/>
              <w:jc w:val="left"/>
            </w:pPr>
            <w:r>
              <w:t>85.4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right="239" w:firstLine="0"/>
              <w:jc w:val="center"/>
            </w:pPr>
            <w:r>
              <w:t>7.6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right="239" w:firstLine="0"/>
              <w:jc w:val="center"/>
            </w:pPr>
            <w:r>
              <w:t>4.5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3.2</w:t>
            </w:r>
          </w:p>
        </w:tc>
      </w:tr>
    </w:tbl>
    <w:p w:rsidR="00363189" w:rsidRDefault="00073C36">
      <w:pPr>
        <w:spacing w:after="331"/>
        <w:ind w:left="7" w:right="291"/>
      </w:pPr>
      <w:r>
        <w:t>Los resultados por habilidad en la Tabla 4 ilustran adem´as c´omo los beneficios de la intervenci´on pueden variar segu´n el tipo de tarea. En esta simulaci´on, el ´algebra exhibe un alto rendimiento de l´ınea base y ganancias modestas, mientras que probab</w:t>
      </w:r>
      <w:r>
        <w:t>ilidad, estequiometr´ıa, conversi´on de unidades y tareas de dosificaci´on/materiales dentales muestran mejoras mayores bajo aumento con herramientas y remediaci´on. Este patr´on heterog´eneo es consistente con la expectativa de que los dominios que combin</w:t>
      </w:r>
      <w:r>
        <w:t>an interpretaci´on conceptual con c´alculo de mu´ltiples pasos y gesti´on de unidades son los que m´as probablemente se beneficien del marco propuesto.</w:t>
      </w:r>
    </w:p>
    <w:p w:rsidR="00363189" w:rsidRDefault="00073C36">
      <w:pPr>
        <w:ind w:left="2243" w:right="291" w:firstLine="0"/>
      </w:pPr>
      <w:r>
        <w:t>Table 4: Exactitud por categor´ıa de habilidad (simulaci´on).</w:t>
      </w:r>
    </w:p>
    <w:tbl>
      <w:tblPr>
        <w:tblStyle w:val="TableGrid"/>
        <w:tblW w:w="6353" w:type="dxa"/>
        <w:tblInd w:w="1665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759"/>
        <w:gridCol w:w="1021"/>
        <w:gridCol w:w="1537"/>
      </w:tblGrid>
      <w:tr w:rsidR="00363189">
        <w:trPr>
          <w:trHeight w:val="342"/>
        </w:trPr>
        <w:tc>
          <w:tcPr>
            <w:tcW w:w="3035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Categor´ıa de habilidad</w:t>
            </w: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141" w:firstLine="0"/>
              <w:jc w:val="left"/>
            </w:pPr>
            <w:r>
              <w:t>M</w:t>
            </w:r>
          </w:p>
        </w:tc>
        <w:tc>
          <w:tcPr>
            <w:tcW w:w="102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M</w:t>
            </w:r>
            <w:r>
              <w:t>+Calc</w:t>
            </w:r>
          </w:p>
        </w:tc>
        <w:tc>
          <w:tcPr>
            <w:tcW w:w="153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</w:pPr>
            <w:r>
              <w:t>M</w:t>
            </w:r>
            <w:r>
              <w:t>+Calc+Remed</w:t>
            </w:r>
          </w:p>
        </w:tc>
      </w:tr>
      <w:tr w:rsidR="00363189">
        <w:trPr>
          <w:trHeight w:val="319"/>
        </w:trPr>
        <w:tc>
          <w:tcPr>
            <w:tcW w:w="30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Algebra´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91.8%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131" w:firstLine="0"/>
              <w:jc w:val="left"/>
            </w:pPr>
            <w:r>
              <w:t>92.0%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96.2%</w:t>
            </w:r>
          </w:p>
        </w:tc>
      </w:tr>
      <w:tr w:rsidR="00363189">
        <w:trPr>
          <w:trHeight w:val="23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Probabilidad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76.2%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131" w:firstLine="0"/>
              <w:jc w:val="left"/>
            </w:pPr>
            <w:r>
              <w:t>85.5%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87.0%</w:t>
            </w:r>
          </w:p>
        </w:tc>
      </w:tr>
      <w:tr w:rsidR="00363189">
        <w:trPr>
          <w:trHeight w:val="23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Estequiometr´ıa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65.8%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131" w:firstLine="0"/>
              <w:jc w:val="left"/>
            </w:pPr>
            <w:r>
              <w:t>76.0%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78.5%</w:t>
            </w:r>
          </w:p>
        </w:tc>
      </w:tr>
      <w:tr w:rsidR="00363189">
        <w:trPr>
          <w:trHeight w:val="239"/>
        </w:trPr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Conversi´on de unidades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71.5%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131" w:firstLine="0"/>
              <w:jc w:val="left"/>
            </w:pPr>
            <w:r>
              <w:t>80.0%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84.2%</w:t>
            </w:r>
          </w:p>
        </w:tc>
      </w:tr>
      <w:tr w:rsidR="00363189">
        <w:trPr>
          <w:trHeight w:val="283"/>
        </w:trPr>
        <w:tc>
          <w:tcPr>
            <w:tcW w:w="303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Dosificaci´on/materiales dentales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63.2%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131" w:firstLine="0"/>
              <w:jc w:val="left"/>
            </w:pPr>
            <w:r>
              <w:t>76.8%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80.8%</w:t>
            </w:r>
          </w:p>
        </w:tc>
      </w:tr>
    </w:tbl>
    <w:p w:rsidR="00363189" w:rsidRDefault="00073C36">
      <w:pPr>
        <w:spacing w:after="330"/>
        <w:ind w:left="7"/>
      </w:pPr>
      <w:r>
        <w:t>Por u´ltimo, simulamos dos variantes del modelo con errores correlacionados para ilustrar el reporte de solapamiento. En este ejemplo, el solapamiento de Jaccard de los dos conjuntos de error es 31</w:t>
      </w:r>
      <w:r>
        <w:rPr>
          <w:i/>
        </w:rPr>
        <w:t>.</w:t>
      </w:r>
      <w:r>
        <w:t xml:space="preserve">2%, y Pr(Variant 2 wrong </w:t>
      </w:r>
      <w:r>
        <w:t xml:space="preserve">| </w:t>
      </w:r>
      <w:r>
        <w:t>Variant 1 wrong) = 46</w:t>
      </w:r>
      <w:r>
        <w:rPr>
          <w:i/>
        </w:rPr>
        <w:t>.</w:t>
      </w:r>
      <w:r>
        <w:t>9%. Estas</w:t>
      </w:r>
      <w:r>
        <w:t xml:space="preserve"> estad´ısticas demuestran c´omo el solapamiento de errores entre variantes puede cuantificar estructura de fallo compartida m´as all´a de las tasas marginales de error por s´ı solas, motivando as´ı la remediaci´on informada por solapamiento y los an´alisis</w:t>
      </w:r>
      <w:r>
        <w:t xml:space="preserve"> de agrupamiento en futuros despliegues emp´ıricos. La Tabla 5 presenta el resumen.</w:t>
      </w:r>
    </w:p>
    <w:p w:rsidR="00363189" w:rsidRDefault="00073C36">
      <w:pPr>
        <w:ind w:left="2131" w:right="291" w:firstLine="0"/>
      </w:pPr>
      <w:r>
        <w:t>Table 5: Solapamiento de errores entre variantes (simulaci´on).</w:t>
      </w:r>
    </w:p>
    <w:tbl>
      <w:tblPr>
        <w:tblStyle w:val="TableGrid"/>
        <w:tblW w:w="8463" w:type="dxa"/>
        <w:tblInd w:w="610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24"/>
        <w:gridCol w:w="777"/>
        <w:gridCol w:w="3361"/>
      </w:tblGrid>
      <w:tr w:rsidR="00363189">
        <w:trPr>
          <w:trHeight w:val="342"/>
        </w:trPr>
        <w:tc>
          <w:tcPr>
            <w:tcW w:w="432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Estad´ıstico</w:t>
            </w:r>
          </w:p>
        </w:tc>
        <w:tc>
          <w:tcPr>
            <w:tcW w:w="77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Valor</w:t>
            </w:r>
          </w:p>
        </w:tc>
        <w:tc>
          <w:tcPr>
            <w:tcW w:w="336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Interpretaci´on</w:t>
            </w:r>
          </w:p>
        </w:tc>
      </w:tr>
      <w:tr w:rsidR="00363189">
        <w:trPr>
          <w:trHeight w:val="298"/>
        </w:trPr>
        <w:tc>
          <w:tcPr>
            <w:tcW w:w="43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Tasa de error de la Variante 1</w:t>
            </w:r>
          </w:p>
        </w:tc>
        <w:tc>
          <w:tcPr>
            <w:tcW w:w="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9" w:firstLine="0"/>
              <w:jc w:val="left"/>
            </w:pPr>
            <w:r>
              <w:t>26.6%</w:t>
            </w:r>
          </w:p>
        </w:tc>
        <w:tc>
          <w:tcPr>
            <w:tcW w:w="3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fracci´on incorrecta</w:t>
            </w:r>
          </w:p>
        </w:tc>
      </w:tr>
      <w:tr w:rsidR="00363189">
        <w:trPr>
          <w:trHeight w:val="239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Tasa de error de la Variante 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9" w:firstLine="0"/>
              <w:jc w:val="left"/>
            </w:pPr>
            <w:r>
              <w:t>25.9%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fracci´on incorrecta</w:t>
            </w:r>
          </w:p>
        </w:tc>
      </w:tr>
      <w:tr w:rsidR="00363189">
        <w:trPr>
          <w:trHeight w:val="234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>Solapamiento de Jaccard de conjuntos de error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9" w:firstLine="0"/>
              <w:jc w:val="left"/>
            </w:pPr>
            <w:r>
              <w:t>31.2%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</w:pPr>
            <w:r>
              <w:t>errores compartidos / uni´on de errores</w:t>
            </w:r>
          </w:p>
        </w:tc>
      </w:tr>
      <w:tr w:rsidR="00363189">
        <w:trPr>
          <w:trHeight w:val="289"/>
        </w:trPr>
        <w:tc>
          <w:tcPr>
            <w:tcW w:w="43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left"/>
            </w:pPr>
            <w:r>
              <w:t xml:space="preserve">Pr(Variant 2 wrong </w:t>
            </w:r>
            <w:r>
              <w:t xml:space="preserve">| </w:t>
            </w:r>
            <w:r>
              <w:t>Variant 1 wrong)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9" w:firstLine="0"/>
              <w:jc w:val="left"/>
            </w:pPr>
            <w:r>
              <w:t>46.9%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363189" w:rsidRDefault="00073C36">
            <w:pPr>
              <w:spacing w:after="0" w:line="259" w:lineRule="auto"/>
              <w:ind w:left="0" w:firstLine="0"/>
              <w:jc w:val="center"/>
            </w:pPr>
            <w:r>
              <w:t>solapamiento condicional</w:t>
            </w:r>
          </w:p>
        </w:tc>
      </w:tr>
    </w:tbl>
    <w:p w:rsidR="00363189" w:rsidRDefault="00073C36">
      <w:pPr>
        <w:pStyle w:val="Heading1"/>
        <w:ind w:left="485" w:right="157" w:hanging="478"/>
      </w:pPr>
      <w:r>
        <w:t>Resultados, discusi´on y limitaciones</w:t>
      </w:r>
    </w:p>
    <w:p w:rsidR="00363189" w:rsidRDefault="00073C36">
      <w:pPr>
        <w:ind w:left="7" w:right="291" w:firstLine="0"/>
      </w:pPr>
      <w:r>
        <w:t xml:space="preserve">La simulaci´on ilustrativa resalta un patr´on que se espera que sea comprobable en futuros estudios emp´ıricos sobre el benchmark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. El efecto m´as inmediato es una fuerte supresi´on de errores de ejecuci´on bajo la o</w:t>
      </w:r>
      <w:r>
        <w:t>bligatoriedad del uso de calculadora, con reducciones claras en errores aritm´eticos y de sustituci´on en comparaci´on con el sistema de l´ınea base (Tabla 3). Esto respalda la premisa central de disen˜o del marco: cuando los subpasos num´ericos se delegan</w:t>
      </w:r>
      <w:r>
        <w:t xml:space="preserve"> a un motor de c´omputo confiable, una porci´on sustancial del fallo cuantitativo evitable puede eliminarse sin requerir que el propio modelo de lenguaje se vuelva intr´ınsecamente m´as preciso num´ericamente.</w:t>
      </w:r>
    </w:p>
    <w:p w:rsidR="00363189" w:rsidRDefault="00073C36">
      <w:pPr>
        <w:ind w:left="7" w:right="291"/>
      </w:pPr>
      <w:r>
        <w:t xml:space="preserve">Un segundo patr´on notable es que las mayores </w:t>
      </w:r>
      <w:r>
        <w:t xml:space="preserve">ganancias absolutas ocurren en categor´ıas cl´ınica y educativamente relevantes como dosificaci´on/materiales dentales y conversi´on de unidades (Tabla 4). Estos son precisamente los entornos en los que la normalizaci´on de unidades, las comprobaciones de </w:t>
      </w:r>
      <w:r>
        <w:t>consistencia dimensional y las restricciones expl´ıcitas de c´omputo son m´as trascendentales. En t´erminos pr´acticos, la simulaci´on sugiere que el aumento con herramientas orientado a la fiabilidad puede proporcionar un beneficio desproporcionado en dom</w:t>
      </w:r>
      <w:r>
        <w:t>inios donde errores num´ericos o de unidades aparentemente pequen˜os pueden tener consecuencias posteriores desmedidas.</w:t>
      </w:r>
    </w:p>
    <w:p w:rsidR="00363189" w:rsidRDefault="00073C36">
      <w:pPr>
        <w:ind w:left="7" w:right="291"/>
      </w:pPr>
      <w:r>
        <w:t xml:space="preserve">Al mismo tiempo, los resultados tambi´en indican brechas conceptuales residuales persistentes. Incluso despu´es de la obligatoriedad del uso de calculadora, permanecen tasas no triviales de error conceptual, especialmente en problemas de estequiometr´ıa y </w:t>
      </w:r>
      <w:r>
        <w:t>de dosificaci´on/materiales dentales que requieren selecci´on correcta de f´ormulas, interpretaci´on del dominio o una formulaci´on adecuada antes de realizar cualquier aritm´etica (Tabla 3). Esto refuerza la motivaci´on para el mapeo de conceptos err´oneo</w:t>
      </w:r>
      <w:r>
        <w:t>s basado en solapamiento y la remediaci´on conceptual dirigida: los mecanismos de correcci´on num´erica por s´ı solos son necesarios pero no suficientes para un razonamiento cuantitativo odontol´ogico robusto.</w:t>
      </w:r>
    </w:p>
    <w:p w:rsidR="00363189" w:rsidRDefault="00073C36">
      <w:pPr>
        <w:ind w:left="7" w:right="291"/>
      </w:pPr>
      <w:r>
        <w:t>De forma m´as amplia, este estudio impulsa una</w:t>
      </w:r>
      <w:r>
        <w:t xml:space="preserve"> agenda de investigaci´on que desplaza la pregunta de evaluaci´on desde “¿Qu´e tan bien puntu´a un LLM?” hacia “¿Qu´e modos de fallo permanecen despu´es de imponer un c´omputo confiable, y c´omo pueden mitigarse de forma segura?” En este marco, el aumento </w:t>
      </w:r>
      <w:r>
        <w:t>con herramientas no es simplemente una estrategia de optimizaci´on del rendimiento; funciona como una restricci´on orientada a la seguridad, alineada con preocupaciones de larga data sobre alucinaci´on, sobreconfianza y fiabilidad en modelos de lenguaje [5</w:t>
      </w:r>
      <w:r>
        <w:t>]. Para tareas cuantitativas, los riesgos m´as relevantes incluyen deslices aritm´eticos, fallos en conversi´on de unidades y selecci´on injustificada de f´ormulas. La obligatoriedad del uso de calculadora y las compuertas de validaci´on de unidades aborda</w:t>
      </w:r>
      <w:r>
        <w:t>n directamente las dos primeras clases, mientras que los diagn´osticos informados por solapamiento ofrecen una v´ıa estructurada para identificar y priorizar debilidades conceptuales m´as profundas.</w:t>
      </w:r>
    </w:p>
    <w:p w:rsidR="00363189" w:rsidRDefault="00073C36">
      <w:pPr>
        <w:ind w:left="7" w:right="291"/>
      </w:pPr>
      <w:r>
        <w:t>La perspectiva basada en solapamiento tambi´en puede tene</w:t>
      </w:r>
      <w:r>
        <w:t>r valor m´as all´a del benchmarking de modelos. Desde un punto de vista educativo, los conglomerados de error tipo concepto err´oneo inferidos a partir de fallos compartidos entre variantes del modelo pueden ayudar a revelar cuellos de botella curriculares</w:t>
      </w:r>
      <w:r>
        <w:t xml:space="preserve"> donde tanto estudiantes como sistemas de IA tienen dificultades, reflejando el papel de los inventarios de conceptos err´oneos en educaci´on qu´ımica [21]. Para programas de odontolog´ıa, tales conglomerados podr´ıan informar m´odulos de remediaci´on diri</w:t>
      </w:r>
      <w:r>
        <w:t>gidos, redisen˜o de´ıtems y evaluaciones m´as equilibradas. Para desarrolladores de modelos, esos mismos conglomerados pueden guiar ajuste fino espec´ıfico del dominio, verificaci´on aumentada por recuperaci´on o estrategias de prompting conscientes del co</w:t>
      </w:r>
      <w:r>
        <w:t>ncepto que aborden d´eficits conceptuales recurrentes en lugar de errores aislados.</w:t>
      </w:r>
    </w:p>
    <w:p w:rsidR="00363189" w:rsidRDefault="00073C36">
      <w:pPr>
        <w:spacing w:after="333"/>
        <w:ind w:left="7" w:right="291"/>
      </w:pPr>
      <w:r>
        <w:t xml:space="preserve">Deben enfatizarse varias limitaciones. En primer lugar, la evaluaci´on emp´ırica completa de </w:t>
      </w:r>
      <w:r>
        <w:t>M</w:t>
      </w:r>
      <w:r>
        <w:t xml:space="preserve">, </w:t>
      </w:r>
      <w:r>
        <w:t>M</w:t>
      </w:r>
      <w:r>
        <w:t xml:space="preserve">+Calc y </w:t>
      </w:r>
      <w:r>
        <w:t>M</w:t>
      </w:r>
      <w:r>
        <w:t>+Calc+Remed depende de una canalizaci´on de herramientas implement</w:t>
      </w:r>
      <w:r>
        <w:t xml:space="preserve">ada y de un benchmark curado de autor´ıa abierta 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; en consecuencia, este manuscrito presenta un protocolo completo y simulaciones ilustrativas, en lugar de resultados sobre materiales de examen propietarios. En segundo lugar, la inferencia de conceptos e</w:t>
      </w:r>
      <w:r>
        <w:t xml:space="preserve">rr´oneos a partir del solapamiento depende inherentemente de la elecci´on de variantes del modelo, prompts y condiciones de evaluaci´on. Por tanto, el solapamiento de errores se interpreta mejor como una sen˜al generadora de hip´otesis y no como evidencia </w:t>
      </w:r>
      <w:r>
        <w:t>definitiva, y requiere revisi´on experta y validaci´on del dominio. En tercer lugar, la obligatoriedad del uso de calculadora mitiga principalmente errores de ejecuci´on y algunos errores de unidad, pero no garantiza un encuadre conceptual correcto; un mod</w:t>
      </w:r>
      <w:r>
        <w:t>elo au´n puede producir una respuesta num´ericamente consistente pero cl´ınicamente incorrecta si los supuestos subyacentes o las f´ormulas son err´oneos. Por u´ltimo, cualquier despliegue en el mundo real en entornos educativos debe abordar preocupaciones</w:t>
      </w:r>
      <w:r>
        <w:t xml:space="preserve"> de gobernanza, incluyendo la sobredependencia del usuario y el posible uso indebido en contextos de evaluaci´on. Por ello, las salvaguardas t´ecnicas deben complementarse con pol´ıticas institucionales claras, l´ımites de uso y pr´acticas de integraci´on </w:t>
      </w:r>
      <w:r>
        <w:t>responsables.</w:t>
      </w:r>
    </w:p>
    <w:p w:rsidR="00363189" w:rsidRDefault="00073C36">
      <w:pPr>
        <w:pStyle w:val="Heading1"/>
        <w:ind w:left="485" w:right="157" w:hanging="478"/>
      </w:pPr>
      <w:r>
        <w:t>Conclusi´on</w:t>
      </w:r>
    </w:p>
    <w:p w:rsidR="00363189" w:rsidRDefault="00073C36">
      <w:pPr>
        <w:ind w:left="7" w:right="291" w:firstLine="0"/>
      </w:pPr>
      <w:r>
        <w:t>Este estudio presenta un marco centrado en la fiabilidad para mejorar y evaluar el razonamiento cuantitativo en aplicaciones odontol´ogicas con LLMs combinando aumento de herramientas con uso obligatorio de calculadora, validaci´o</w:t>
      </w:r>
      <w:r>
        <w:t xml:space="preserve">n expl´ıcita de unidades y diagn´osticos de conceptos err´oneos informados por solapamiento. En lugar de tratar el rendimiento como una u´nica puntuaci´on de exactitud, el enfoque propuesto descompone los errores en componentes conceptuales, de ejecuci´on </w:t>
      </w:r>
      <w:r>
        <w:t>y relacionados con unidades, vinculando as´ı intervenciones espec´ıficas con los modos de fallo que est´an destinadas a reducir. Dentro de este marco, la obligatoriedad del uso de calculadora funciona como una restricci´on orientada a la seguridad para sub</w:t>
      </w:r>
      <w:r>
        <w:t>pasos num´ericos, mientras que el an´alisis de errores basado en solapamiento proporciona un mecanismo fundamentado para identificar debilidades conceptuales persistentes que requieren remediaci´on dirigida.</w:t>
      </w:r>
    </w:p>
    <w:p w:rsidR="00363189" w:rsidRDefault="00073C36">
      <w:pPr>
        <w:ind w:left="7" w:right="291"/>
      </w:pPr>
      <w:r>
        <w:t>La simulaci´on ilustrativa demuestra el comportamiento cualitativo esperado del marco: supresi´on sustancial de errores de ejecuci´on bajo uso obligatorio de herramientas, ganancias marcadas en categor´ıas cl´ınicamente relevantes como dosificaci´on/materi</w:t>
      </w:r>
      <w:r>
        <w:t xml:space="preserve">ales y conversi´on de unidades, y errores conceptuales residuales persistentes que motivan remediaci´on centrada en conceptos. Estos hallazgos, aunque simulados, muestran c´omo los futuros estudios emp´ıricos pueden reportar mejoras de manera transparente </w:t>
      </w:r>
      <w:r>
        <w:t>y diagn´osticamente significativa en lugar de depender u´nicamente de puntuaciones agregadas de benchmark.</w:t>
      </w:r>
    </w:p>
    <w:p w:rsidR="00363189" w:rsidRDefault="00073C36">
      <w:pPr>
        <w:spacing w:after="296"/>
        <w:ind w:left="7" w:right="291"/>
      </w:pPr>
      <w:r>
        <w:t>En conjunto, la metodolog´ıa propuesta ofrece una base pr´actica y extensible para benchmarking legalmente reproducible (</w:t>
      </w:r>
      <w:r>
        <w:rPr>
          <w:i/>
        </w:rPr>
        <w:t>D</w:t>
      </w:r>
      <w:r>
        <w:rPr>
          <w:i/>
          <w:vertAlign w:val="subscript"/>
        </w:rPr>
        <w:t>q</w:t>
      </w:r>
      <w:r>
        <w:t>), inferencia cuantitativa</w:t>
      </w:r>
      <w:r>
        <w:t xml:space="preserve"> m´as segura y an´alisis de errores educativamente significativos en sistemas LLM orientados a odontolog´ıa. El trabajo futuro deber´ıa implementar la canalizaci´on completa de herramientas, construir y validar el benchmark de autor´ıa abierta con revisi´o</w:t>
      </w:r>
      <w:r>
        <w:t>n de expertos y calibraci´on psicom´etrica, y probar si la remediaci´on informada por solapamiento mejora el rendimiento real de los modelos y la utilidad educativa en entornos aut´enticos de aprendizaje odontol´ogico.</w:t>
      </w:r>
    </w:p>
    <w:p w:rsidR="00363189" w:rsidRDefault="00073C36">
      <w:pPr>
        <w:pStyle w:val="Heading1"/>
        <w:numPr>
          <w:ilvl w:val="0"/>
          <w:numId w:val="0"/>
        </w:numPr>
        <w:spacing w:after="148"/>
        <w:ind w:left="17" w:right="157"/>
      </w:pPr>
      <w:r>
        <w:t>Referencias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>M. Dashti, S. Ghasemi, N.</w:t>
      </w:r>
      <w:r>
        <w:rPr>
          <w:sz w:val="16"/>
        </w:rPr>
        <w:t xml:space="preserve"> Ghadimi,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Performance of ChatGPT 3.5 and 4 on U.S. dental examinations: the INBDE, ADAT, and DAT. </w:t>
      </w:r>
      <w:r>
        <w:rPr>
          <w:i/>
          <w:sz w:val="16"/>
        </w:rPr>
        <w:t>Imaging Science in Dentistry</w:t>
      </w:r>
      <w:r>
        <w:rPr>
          <w:sz w:val="16"/>
        </w:rPr>
        <w:t>, 54 (2024) 271–275.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 xml:space="preserve">F. Schwendicke, J. Krois. Data Dentistry: How Data Are Changing Clinical Care and Research. </w:t>
      </w:r>
      <w:r>
        <w:rPr>
          <w:i/>
          <w:sz w:val="16"/>
        </w:rPr>
        <w:t>Journal of</w:t>
      </w:r>
      <w:r>
        <w:rPr>
          <w:i/>
          <w:sz w:val="16"/>
        </w:rPr>
        <w:t xml:space="preserve"> Dental Research</w:t>
      </w:r>
      <w:r>
        <w:rPr>
          <w:sz w:val="16"/>
        </w:rPr>
        <w:t>, 101(1) (2022) 21–29.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 xml:space="preserve">J. Sur, S. Bose, F. Khan, D. Dewangan, E. Sawriya, A. Roul. Knowledge, attitudes, and perceptions regarding the future of artificial intelligence in oral radiology in India: A survey. </w:t>
      </w:r>
      <w:r>
        <w:rPr>
          <w:i/>
          <w:sz w:val="16"/>
        </w:rPr>
        <w:t>Imaging Science in Dentistry</w:t>
      </w:r>
      <w:r>
        <w:rPr>
          <w:sz w:val="16"/>
        </w:rPr>
        <w:t>, 50(</w:t>
      </w:r>
      <w:r>
        <w:rPr>
          <w:sz w:val="16"/>
        </w:rPr>
        <w:t>3) (2020) 193–198.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 xml:space="preserve">K.-H. Yu, A. L. Beam, I. S. Kohane. Artificial intelligence in healthcare. </w:t>
      </w:r>
      <w:r>
        <w:rPr>
          <w:i/>
          <w:sz w:val="16"/>
        </w:rPr>
        <w:t>Nature Biomedical Engineering</w:t>
      </w:r>
      <w:r>
        <w:rPr>
          <w:sz w:val="16"/>
        </w:rPr>
        <w:t>, 2(10) (2018) 719–731.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 xml:space="preserve">Z. Ji, N. Lee, R. Frieske,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Survey of hallucination in natural language generation. </w:t>
      </w:r>
      <w:r>
        <w:rPr>
          <w:i/>
          <w:sz w:val="16"/>
        </w:rPr>
        <w:t>ACM Computing Surve</w:t>
      </w:r>
      <w:r>
        <w:rPr>
          <w:i/>
          <w:sz w:val="16"/>
        </w:rPr>
        <w:t>ys</w:t>
      </w:r>
      <w:r>
        <w:rPr>
          <w:sz w:val="16"/>
        </w:rPr>
        <w:t>, 55(12) (2023) Article 248.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 xml:space="preserve">OpenAI. GPT-4 Technical Report. </w:t>
      </w:r>
      <w:r>
        <w:rPr>
          <w:i/>
          <w:sz w:val="16"/>
        </w:rPr>
        <w:t>arXiv:2303.08774</w:t>
      </w:r>
      <w:r>
        <w:rPr>
          <w:sz w:val="16"/>
        </w:rPr>
        <w:t>, 2023.</w:t>
      </w:r>
    </w:p>
    <w:p w:rsidR="00363189" w:rsidRDefault="00073C36">
      <w:pPr>
        <w:numPr>
          <w:ilvl w:val="0"/>
          <w:numId w:val="2"/>
        </w:numPr>
        <w:spacing w:after="3" w:line="259" w:lineRule="auto"/>
        <w:ind w:right="128" w:hanging="278"/>
        <w:jc w:val="left"/>
      </w:pPr>
      <w:r>
        <w:rPr>
          <w:sz w:val="16"/>
        </w:rPr>
        <w:t xml:space="preserve">L. Ouyang, J. Wu, X. Jiang,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Training language models to follow instructions with human feedback. </w:t>
      </w:r>
      <w:r>
        <w:rPr>
          <w:i/>
          <w:sz w:val="16"/>
        </w:rPr>
        <w:t>NeurIPS</w:t>
      </w:r>
      <w:r>
        <w:rPr>
          <w:sz w:val="16"/>
        </w:rPr>
        <w:t xml:space="preserve">, 35 (2022). [8] T. B. Brown, B. Mann, N. Ryder, </w:t>
      </w:r>
      <w:r>
        <w:rPr>
          <w:i/>
          <w:sz w:val="16"/>
        </w:rPr>
        <w:t xml:space="preserve">et al. </w:t>
      </w:r>
      <w:r>
        <w:rPr>
          <w:sz w:val="16"/>
        </w:rPr>
        <w:t>La</w:t>
      </w:r>
      <w:r>
        <w:rPr>
          <w:sz w:val="16"/>
        </w:rPr>
        <w:t xml:space="preserve">nguage models are few-shot learners. </w:t>
      </w:r>
      <w:r>
        <w:rPr>
          <w:i/>
          <w:sz w:val="16"/>
        </w:rPr>
        <w:t>NeurIPS</w:t>
      </w:r>
      <w:r>
        <w:rPr>
          <w:sz w:val="16"/>
        </w:rPr>
        <w:t>, 33 (2020) 1877–1901.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J. Wei, X. Wang, D. Schuurmans,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Chain-of-thought prompting elicits reasoning in large language models. </w:t>
      </w:r>
      <w:r>
        <w:rPr>
          <w:i/>
          <w:sz w:val="16"/>
        </w:rPr>
        <w:t>NeurIPS</w:t>
      </w:r>
      <w:r>
        <w:rPr>
          <w:sz w:val="16"/>
        </w:rPr>
        <w:t>, 35 (2022).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T. Kojima, S. S. Gu, M. Reid, Y. Matsuo, Y. Iwasawa. Large language models are zero-shot reasoners. </w:t>
      </w:r>
      <w:r>
        <w:rPr>
          <w:i/>
          <w:sz w:val="16"/>
        </w:rPr>
        <w:t>arXiv:2205.11916</w:t>
      </w:r>
      <w:r>
        <w:rPr>
          <w:sz w:val="16"/>
        </w:rPr>
        <w:t>, 2022.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X. Wang, J. Wei, D. Schuurmans,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Self-consistency improves chain of thought reasoning in language models. </w:t>
      </w:r>
      <w:r>
        <w:rPr>
          <w:i/>
          <w:sz w:val="16"/>
        </w:rPr>
        <w:t>arXiv:2203.11171</w:t>
      </w:r>
      <w:r>
        <w:rPr>
          <w:sz w:val="16"/>
        </w:rPr>
        <w:t>, 20</w:t>
      </w:r>
      <w:r>
        <w:rPr>
          <w:sz w:val="16"/>
        </w:rPr>
        <w:t>22.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T. Schick, J. Dwivedi-Yu, R. Dess`ı,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Toolformer: Language models can teach themselves to use tools. </w:t>
      </w:r>
      <w:r>
        <w:rPr>
          <w:i/>
          <w:sz w:val="16"/>
        </w:rPr>
        <w:t>arXiv:2302.04761</w:t>
      </w:r>
      <w:r>
        <w:rPr>
          <w:sz w:val="16"/>
        </w:rPr>
        <w:t>, 2023.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L. Gao, A. Madaan, S. Zhou,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PAL: Program-aided language models. </w:t>
      </w:r>
      <w:r>
        <w:rPr>
          <w:i/>
          <w:sz w:val="16"/>
        </w:rPr>
        <w:t>arXiv:2211.10435</w:t>
      </w:r>
      <w:r>
        <w:rPr>
          <w:sz w:val="16"/>
        </w:rPr>
        <w:t>, 2022.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K. Cobbe, V. Kosaraju, M. </w:t>
      </w:r>
      <w:r>
        <w:rPr>
          <w:sz w:val="16"/>
        </w:rPr>
        <w:t xml:space="preserve">Bavarian,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Training verifiers to solve math word problems. </w:t>
      </w:r>
      <w:r>
        <w:rPr>
          <w:i/>
          <w:sz w:val="16"/>
        </w:rPr>
        <w:t>arXiv:2110.14168</w:t>
      </w:r>
      <w:r>
        <w:rPr>
          <w:sz w:val="16"/>
        </w:rPr>
        <w:t>, 2021.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A. Lewkowycz, A. Andreassen, D. Dohan,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Solving quantitative reasoning problems with language models. </w:t>
      </w:r>
      <w:r>
        <w:rPr>
          <w:i/>
          <w:sz w:val="16"/>
        </w:rPr>
        <w:t>NeurIPS</w:t>
      </w:r>
      <w:r>
        <w:rPr>
          <w:sz w:val="16"/>
        </w:rPr>
        <w:t>, 35 (2022).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D. Hendrycks, C. Burns, S. Kadavath,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Measuring mathematical problem solving with the MATH dataset. </w:t>
      </w:r>
      <w:r>
        <w:rPr>
          <w:i/>
          <w:sz w:val="16"/>
        </w:rPr>
        <w:t>arXiv:2103.03874</w:t>
      </w:r>
      <w:r>
        <w:rPr>
          <w:sz w:val="16"/>
        </w:rPr>
        <w:t>, 2021.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M. Suzgun, N. Scales, N. Sch¨arli,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Challenging BIG-Bench tasks and whether chain-of-thought can solve them. </w:t>
      </w:r>
      <w:r>
        <w:rPr>
          <w:i/>
          <w:sz w:val="16"/>
        </w:rPr>
        <w:t>arXiv:2210.09261</w:t>
      </w:r>
      <w:r>
        <w:rPr>
          <w:sz w:val="16"/>
        </w:rPr>
        <w:t>, 2022.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G. Rasch. </w:t>
      </w:r>
      <w:r>
        <w:rPr>
          <w:i/>
          <w:sz w:val="16"/>
        </w:rPr>
        <w:t xml:space="preserve">Probabilistic </w:t>
      </w:r>
      <w:r>
        <w:rPr>
          <w:i/>
          <w:sz w:val="16"/>
        </w:rPr>
        <w:t>Models for Some Intelligence and Attainment Tests</w:t>
      </w:r>
      <w:r>
        <w:rPr>
          <w:sz w:val="16"/>
        </w:rPr>
        <w:t>. Danish Institute for Educational Research, Copenhagen, 1960.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S. E. Embretson, S. P. Reise. </w:t>
      </w:r>
      <w:r>
        <w:rPr>
          <w:i/>
          <w:sz w:val="16"/>
        </w:rPr>
        <w:t>Item Response Theory for Psychologists</w:t>
      </w:r>
      <w:r>
        <w:rPr>
          <w:sz w:val="16"/>
        </w:rPr>
        <w:t>. Lawrence Erlbaum Associates, Mahwah, NJ, 2000.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R. J. de Ayala. </w:t>
      </w:r>
      <w:r>
        <w:rPr>
          <w:i/>
          <w:sz w:val="16"/>
        </w:rPr>
        <w:t xml:space="preserve">The Theory </w:t>
      </w:r>
      <w:r>
        <w:rPr>
          <w:i/>
          <w:sz w:val="16"/>
        </w:rPr>
        <w:t>and Practice of Item Response Theory</w:t>
      </w:r>
      <w:r>
        <w:rPr>
          <w:sz w:val="16"/>
        </w:rPr>
        <w:t>. Guilford Press, New York, 2009.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M. B. Nakhleh. Why some students don’t learn chemistry: chemical misconceptions. </w:t>
      </w:r>
      <w:r>
        <w:rPr>
          <w:i/>
          <w:sz w:val="16"/>
        </w:rPr>
        <w:t>Journal of Chemical Education</w:t>
      </w:r>
      <w:r>
        <w:rPr>
          <w:sz w:val="16"/>
        </w:rPr>
        <w:t>, 69(3) (1992) 191–196.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>D. R. Mulford, W. R. Robinson. An inventory for alte</w:t>
      </w:r>
      <w:r>
        <w:rPr>
          <w:sz w:val="16"/>
        </w:rPr>
        <w:t xml:space="preserve">rnate conceptions among first-semester general chemistry students. </w:t>
      </w:r>
      <w:r>
        <w:rPr>
          <w:i/>
          <w:sz w:val="16"/>
        </w:rPr>
        <w:t>Journal of Chemical Education</w:t>
      </w:r>
      <w:r>
        <w:rPr>
          <w:sz w:val="16"/>
        </w:rPr>
        <w:t>, 79(6) (2002) 739–744.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E. Yu¨zba¸sıo˘glu. Attitudes and perceptions of dental students towards artificial intelligence. </w:t>
      </w:r>
      <w:r>
        <w:rPr>
          <w:i/>
          <w:sz w:val="16"/>
        </w:rPr>
        <w:t>Journal of Dental Education</w:t>
      </w:r>
      <w:r>
        <w:rPr>
          <w:sz w:val="16"/>
        </w:rPr>
        <w:t>, 85(1) (202</w:t>
      </w:r>
      <w:r>
        <w:rPr>
          <w:sz w:val="16"/>
        </w:rPr>
        <w:t>1) 60–68.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R. J. Weyant, S. L. Tracy, T. Anselmo, </w:t>
      </w:r>
      <w:r>
        <w:rPr>
          <w:i/>
          <w:sz w:val="16"/>
        </w:rPr>
        <w:t xml:space="preserve">et al. </w:t>
      </w:r>
      <w:r>
        <w:rPr>
          <w:sz w:val="16"/>
        </w:rPr>
        <w:t xml:space="preserve">Topical fluoride for caries prevention: Executive summary of evidence-based clinical recommendations. </w:t>
      </w:r>
      <w:r>
        <w:rPr>
          <w:i/>
          <w:sz w:val="16"/>
        </w:rPr>
        <w:t>Journal of the American Dental Association</w:t>
      </w:r>
      <w:r>
        <w:rPr>
          <w:sz w:val="16"/>
        </w:rPr>
        <w:t>, 144(11) (2013) 1279–1291.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S. F. Malamed. </w:t>
      </w:r>
      <w:r>
        <w:rPr>
          <w:i/>
          <w:sz w:val="16"/>
        </w:rPr>
        <w:t>Handbook of L</w:t>
      </w:r>
      <w:r>
        <w:rPr>
          <w:i/>
          <w:sz w:val="16"/>
        </w:rPr>
        <w:t>ocal Anesthesia</w:t>
      </w:r>
      <w:r>
        <w:rPr>
          <w:sz w:val="16"/>
        </w:rPr>
        <w:t>. 7th ed., Elsevier, 2019.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 xml:space="preserve">A. J. Feilzer, A. J. de Gee, C. L. Davidson. Setting stress in composite resin in relation to configuration of the restoration. </w:t>
      </w:r>
      <w:r>
        <w:rPr>
          <w:i/>
          <w:sz w:val="16"/>
        </w:rPr>
        <w:t>Journal of Dental Research</w:t>
      </w:r>
      <w:r>
        <w:rPr>
          <w:sz w:val="16"/>
        </w:rPr>
        <w:t>, 71(10) (1992) 1697–1703.</w:t>
      </w:r>
    </w:p>
    <w:p w:rsidR="00363189" w:rsidRDefault="00073C36">
      <w:pPr>
        <w:numPr>
          <w:ilvl w:val="0"/>
          <w:numId w:val="3"/>
        </w:numPr>
        <w:spacing w:after="3" w:line="259" w:lineRule="auto"/>
        <w:ind w:right="128" w:hanging="363"/>
        <w:jc w:val="left"/>
      </w:pPr>
      <w:r>
        <w:rPr>
          <w:sz w:val="16"/>
        </w:rPr>
        <w:t>F. Schwendicke, J. Krois. Data-dr</w:t>
      </w:r>
      <w:r>
        <w:rPr>
          <w:sz w:val="16"/>
        </w:rPr>
        <w:t xml:space="preserve">iven dentistry: How artificial intelligence is changing dentistry. </w:t>
      </w:r>
      <w:r>
        <w:rPr>
          <w:i/>
          <w:sz w:val="16"/>
        </w:rPr>
        <w:t>Journal of Dental Research</w:t>
      </w:r>
      <w:r>
        <w:rPr>
          <w:sz w:val="16"/>
        </w:rPr>
        <w:t>, 100(4) (2021) 331–339.</w:t>
      </w:r>
    </w:p>
    <w:p w:rsidR="00363189" w:rsidRDefault="00073C36">
      <w:pPr>
        <w:numPr>
          <w:ilvl w:val="0"/>
          <w:numId w:val="3"/>
        </w:numPr>
        <w:spacing w:after="0" w:line="259" w:lineRule="auto"/>
        <w:ind w:right="128" w:hanging="363"/>
        <w:jc w:val="left"/>
      </w:pPr>
      <w:r>
        <w:rPr>
          <w:sz w:val="16"/>
        </w:rPr>
        <w:t xml:space="preserve">E. Topol. </w:t>
      </w:r>
      <w:r>
        <w:rPr>
          <w:i/>
          <w:sz w:val="16"/>
        </w:rPr>
        <w:t>Deep Medicine: How Artificial Intelligence Can Make Healthcare Human Again</w:t>
      </w:r>
      <w:r>
        <w:rPr>
          <w:sz w:val="16"/>
        </w:rPr>
        <w:t>. Basic Books, 2019.</w:t>
      </w:r>
    </w:p>
    <w:sectPr w:rsidR="00363189">
      <w:footerReference w:type="even" r:id="rId11"/>
      <w:footerReference w:type="default" r:id="rId12"/>
      <w:footerReference w:type="first" r:id="rId13"/>
      <w:pgSz w:w="11906" w:h="16838"/>
      <w:pgMar w:top="1137" w:right="828" w:bottom="1095" w:left="1112" w:header="720" w:footer="720" w:gutter="0"/>
      <w:pgNumType w:start="1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C36" w:rsidRDefault="00073C36">
      <w:pPr>
        <w:spacing w:after="0" w:line="240" w:lineRule="auto"/>
      </w:pPr>
      <w:r>
        <w:separator/>
      </w:r>
    </w:p>
  </w:endnote>
  <w:endnote w:type="continuationSeparator" w:id="0">
    <w:p w:rsidR="00073C36" w:rsidRDefault="0007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189" w:rsidRDefault="00073C36">
    <w:pPr>
      <w:spacing w:after="0" w:line="259" w:lineRule="auto"/>
      <w:ind w:left="0" w:right="28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189" w:rsidRDefault="00073C36">
    <w:pPr>
      <w:spacing w:after="0" w:line="259" w:lineRule="auto"/>
      <w:ind w:left="0" w:right="28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2342">
      <w:rPr>
        <w:noProof/>
      </w:rPr>
      <w:t>20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189" w:rsidRDefault="0036318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C36" w:rsidRDefault="00073C36">
      <w:pPr>
        <w:spacing w:after="0" w:line="259" w:lineRule="auto"/>
        <w:ind w:left="244" w:firstLine="0"/>
        <w:jc w:val="left"/>
      </w:pPr>
      <w:r>
        <w:separator/>
      </w:r>
    </w:p>
  </w:footnote>
  <w:footnote w:type="continuationSeparator" w:id="0">
    <w:p w:rsidR="00073C36" w:rsidRDefault="00073C36">
      <w:pPr>
        <w:spacing w:after="0" w:line="259" w:lineRule="auto"/>
        <w:ind w:left="244" w:firstLine="0"/>
        <w:jc w:val="left"/>
      </w:pPr>
      <w:r>
        <w:continuationSeparator/>
      </w:r>
    </w:p>
  </w:footnote>
  <w:footnote w:id="1">
    <w:p w:rsidR="00363189" w:rsidRDefault="00073C36">
      <w:pPr>
        <w:pStyle w:val="footnotedescription"/>
      </w:pPr>
      <w:r>
        <w:rPr>
          <w:rStyle w:val="footnotemark"/>
        </w:rPr>
        <w:footnoteRef/>
      </w:r>
      <w:r>
        <w:t xml:space="preserve"> Corresponding author (resumenespepe@gmail.com)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F5AAD"/>
    <w:multiLevelType w:val="hybridMultilevel"/>
    <w:tmpl w:val="DBD888D4"/>
    <w:lvl w:ilvl="0" w:tplc="9EE68816">
      <w:start w:val="9"/>
      <w:numFmt w:val="decimal"/>
      <w:lvlText w:val="[%1]"/>
      <w:lvlJc w:val="left"/>
      <w:pPr>
        <w:ind w:left="3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12F9A0">
      <w:start w:val="1"/>
      <w:numFmt w:val="lowerLetter"/>
      <w:lvlText w:val="%2"/>
      <w:lvlJc w:val="left"/>
      <w:pPr>
        <w:ind w:left="1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CB836DC">
      <w:start w:val="1"/>
      <w:numFmt w:val="lowerRoman"/>
      <w:lvlText w:val="%3"/>
      <w:lvlJc w:val="left"/>
      <w:pPr>
        <w:ind w:left="1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E8E4A48">
      <w:start w:val="1"/>
      <w:numFmt w:val="decimal"/>
      <w:lvlText w:val="%4"/>
      <w:lvlJc w:val="left"/>
      <w:pPr>
        <w:ind w:left="2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038D484">
      <w:start w:val="1"/>
      <w:numFmt w:val="lowerLetter"/>
      <w:lvlText w:val="%5"/>
      <w:lvlJc w:val="left"/>
      <w:pPr>
        <w:ind w:left="3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ABAD5CE">
      <w:start w:val="1"/>
      <w:numFmt w:val="lowerRoman"/>
      <w:lvlText w:val="%6"/>
      <w:lvlJc w:val="left"/>
      <w:pPr>
        <w:ind w:left="3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4413EA">
      <w:start w:val="1"/>
      <w:numFmt w:val="decimal"/>
      <w:lvlText w:val="%7"/>
      <w:lvlJc w:val="left"/>
      <w:pPr>
        <w:ind w:left="4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F4A130">
      <w:start w:val="1"/>
      <w:numFmt w:val="lowerLetter"/>
      <w:lvlText w:val="%8"/>
      <w:lvlJc w:val="left"/>
      <w:pPr>
        <w:ind w:left="5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59E4AF2">
      <w:start w:val="1"/>
      <w:numFmt w:val="lowerRoman"/>
      <w:lvlText w:val="%9"/>
      <w:lvlJc w:val="left"/>
      <w:pPr>
        <w:ind w:left="61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5255D4"/>
    <w:multiLevelType w:val="hybridMultilevel"/>
    <w:tmpl w:val="BE6A8344"/>
    <w:lvl w:ilvl="0" w:tplc="296EBFEE">
      <w:start w:val="1"/>
      <w:numFmt w:val="decimal"/>
      <w:pStyle w:val="Heading1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89178">
      <w:start w:val="1"/>
      <w:numFmt w:val="lowerLetter"/>
      <w:lvlText w:val="%2"/>
      <w:lvlJc w:val="left"/>
      <w:pPr>
        <w:ind w:left="108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06976">
      <w:start w:val="1"/>
      <w:numFmt w:val="lowerRoman"/>
      <w:lvlText w:val="%3"/>
      <w:lvlJc w:val="left"/>
      <w:pPr>
        <w:ind w:left="180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AC038">
      <w:start w:val="1"/>
      <w:numFmt w:val="decimal"/>
      <w:lvlText w:val="%4"/>
      <w:lvlJc w:val="left"/>
      <w:pPr>
        <w:ind w:left="252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CE8C8">
      <w:start w:val="1"/>
      <w:numFmt w:val="lowerLetter"/>
      <w:lvlText w:val="%5"/>
      <w:lvlJc w:val="left"/>
      <w:pPr>
        <w:ind w:left="324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6E88A">
      <w:start w:val="1"/>
      <w:numFmt w:val="lowerRoman"/>
      <w:lvlText w:val="%6"/>
      <w:lvlJc w:val="left"/>
      <w:pPr>
        <w:ind w:left="396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C0C8C">
      <w:start w:val="1"/>
      <w:numFmt w:val="decimal"/>
      <w:lvlText w:val="%7"/>
      <w:lvlJc w:val="left"/>
      <w:pPr>
        <w:ind w:left="468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42E10">
      <w:start w:val="1"/>
      <w:numFmt w:val="lowerLetter"/>
      <w:lvlText w:val="%8"/>
      <w:lvlJc w:val="left"/>
      <w:pPr>
        <w:ind w:left="540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488FEE">
      <w:start w:val="1"/>
      <w:numFmt w:val="lowerRoman"/>
      <w:lvlText w:val="%9"/>
      <w:lvlJc w:val="left"/>
      <w:pPr>
        <w:ind w:left="612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4F0F65"/>
    <w:multiLevelType w:val="hybridMultilevel"/>
    <w:tmpl w:val="76982FFE"/>
    <w:lvl w:ilvl="0" w:tplc="71D4362E">
      <w:start w:val="1"/>
      <w:numFmt w:val="decimal"/>
      <w:lvlText w:val="[%1]"/>
      <w:lvlJc w:val="left"/>
      <w:pPr>
        <w:ind w:left="3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5BC377E">
      <w:start w:val="1"/>
      <w:numFmt w:val="lowerLetter"/>
      <w:lvlText w:val="%2"/>
      <w:lvlJc w:val="left"/>
      <w:pPr>
        <w:ind w:left="11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22EC4C">
      <w:start w:val="1"/>
      <w:numFmt w:val="lowerRoman"/>
      <w:lvlText w:val="%3"/>
      <w:lvlJc w:val="left"/>
      <w:pPr>
        <w:ind w:left="18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F87038">
      <w:start w:val="1"/>
      <w:numFmt w:val="decimal"/>
      <w:lvlText w:val="%4"/>
      <w:lvlJc w:val="left"/>
      <w:pPr>
        <w:ind w:left="26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B78E8A6">
      <w:start w:val="1"/>
      <w:numFmt w:val="lowerLetter"/>
      <w:lvlText w:val="%5"/>
      <w:lvlJc w:val="left"/>
      <w:pPr>
        <w:ind w:left="33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1CD7A2">
      <w:start w:val="1"/>
      <w:numFmt w:val="lowerRoman"/>
      <w:lvlText w:val="%6"/>
      <w:lvlJc w:val="left"/>
      <w:pPr>
        <w:ind w:left="40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1A7BB0">
      <w:start w:val="1"/>
      <w:numFmt w:val="decimal"/>
      <w:lvlText w:val="%7"/>
      <w:lvlJc w:val="left"/>
      <w:pPr>
        <w:ind w:left="47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41661F8">
      <w:start w:val="1"/>
      <w:numFmt w:val="lowerLetter"/>
      <w:lvlText w:val="%8"/>
      <w:lvlJc w:val="left"/>
      <w:pPr>
        <w:ind w:left="54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F7A5C2C">
      <w:start w:val="1"/>
      <w:numFmt w:val="lowerRoman"/>
      <w:lvlText w:val="%9"/>
      <w:lvlJc w:val="left"/>
      <w:pPr>
        <w:ind w:left="62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E205EE"/>
    <w:multiLevelType w:val="hybridMultilevel"/>
    <w:tmpl w:val="5DBA4494"/>
    <w:lvl w:ilvl="0" w:tplc="4EC407B0">
      <w:start w:val="1"/>
      <w:numFmt w:val="decimal"/>
      <w:lvlText w:val="%1."/>
      <w:lvlJc w:val="left"/>
      <w:pPr>
        <w:ind w:left="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208E40">
      <w:start w:val="1"/>
      <w:numFmt w:val="lowerLetter"/>
      <w:lvlText w:val="%2"/>
      <w:lvlJc w:val="left"/>
      <w:pPr>
        <w:ind w:left="13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DA4D0C">
      <w:start w:val="1"/>
      <w:numFmt w:val="lowerRoman"/>
      <w:lvlText w:val="%3"/>
      <w:lvlJc w:val="left"/>
      <w:pPr>
        <w:ind w:left="20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445D40">
      <w:start w:val="1"/>
      <w:numFmt w:val="decimal"/>
      <w:lvlText w:val="%4"/>
      <w:lvlJc w:val="left"/>
      <w:pPr>
        <w:ind w:left="27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C279D4">
      <w:start w:val="1"/>
      <w:numFmt w:val="lowerLetter"/>
      <w:lvlText w:val="%5"/>
      <w:lvlJc w:val="left"/>
      <w:pPr>
        <w:ind w:left="3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82ED58">
      <w:start w:val="1"/>
      <w:numFmt w:val="lowerRoman"/>
      <w:lvlText w:val="%6"/>
      <w:lvlJc w:val="left"/>
      <w:pPr>
        <w:ind w:left="4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7CE476">
      <w:start w:val="1"/>
      <w:numFmt w:val="decimal"/>
      <w:lvlText w:val="%7"/>
      <w:lvlJc w:val="left"/>
      <w:pPr>
        <w:ind w:left="49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1640E0">
      <w:start w:val="1"/>
      <w:numFmt w:val="lowerLetter"/>
      <w:lvlText w:val="%8"/>
      <w:lvlJc w:val="left"/>
      <w:pPr>
        <w:ind w:left="5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1CC3C4">
      <w:start w:val="1"/>
      <w:numFmt w:val="lowerRoman"/>
      <w:lvlText w:val="%9"/>
      <w:lvlJc w:val="left"/>
      <w:pPr>
        <w:ind w:left="6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89"/>
    <w:rsid w:val="00073C36"/>
    <w:rsid w:val="00363189"/>
    <w:rsid w:val="008B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875F60-B616-4450-9A5E-DF0E41E0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03" w:lineRule="auto"/>
      <w:ind w:left="22" w:firstLine="289"/>
      <w:jc w:val="both"/>
    </w:pPr>
    <w:rPr>
      <w:rFonts w:ascii="Cambria" w:eastAsia="Cambria" w:hAnsi="Cambria" w:cs="Cambria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4"/>
      </w:numPr>
      <w:spacing w:after="199" w:line="252" w:lineRule="auto"/>
      <w:ind w:left="32" w:right="172" w:hanging="10"/>
      <w:jc w:val="both"/>
      <w:outlineLvl w:val="0"/>
    </w:pPr>
    <w:rPr>
      <w:rFonts w:ascii="Cambria" w:eastAsia="Cambria" w:hAnsi="Cambria" w:cs="Cambria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9"/>
      <w:ind w:right="284"/>
      <w:jc w:val="center"/>
      <w:outlineLvl w:val="1"/>
    </w:pPr>
    <w:rPr>
      <w:rFonts w:ascii="Cambria" w:eastAsia="Cambria" w:hAnsi="Cambria" w:cs="Cambria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1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244"/>
    </w:pPr>
    <w:rPr>
      <w:rFonts w:ascii="Cambria" w:eastAsia="Cambria" w:hAnsi="Cambria" w:cs="Cambria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mbria" w:eastAsia="Cambria" w:hAnsi="Cambria" w:cs="Cambria"/>
      <w:color w:val="000000"/>
      <w:sz w:val="16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5457</Words>
  <Characters>31107</Characters>
  <Application>Microsoft Office Word</Application>
  <DocSecurity>0</DocSecurity>
  <Lines>259</Lines>
  <Paragraphs>72</Paragraphs>
  <ScaleCrop>false</ScaleCrop>
  <Company/>
  <LinksUpToDate>false</LinksUpToDate>
  <CharactersWithSpaces>36492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Polish One</dc:creator>
  <cp:keywords/>
  <cp:lastModifiedBy>Peer Polish One</cp:lastModifiedBy>
  <cp:revision>2</cp:revision>
  <dcterms:created xsi:type="dcterms:W3CDTF">2026-07-07T06:47:00Z</dcterms:created>
  <dcterms:modified xsi:type="dcterms:W3CDTF">2026-07-07T06:47:00Z</dcterms:modified>
</cp:coreProperties>
</file>